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2CEC" w14:textId="77777777" w:rsidR="005B54B8" w:rsidRPr="00971A87" w:rsidRDefault="00411B5A" w:rsidP="005B54B8">
      <w:pPr>
        <w:spacing w:before="362"/>
        <w:ind w:left="1985"/>
        <w:rPr>
          <w:b/>
          <w:color w:val="000000" w:themeColor="text1"/>
          <w:sz w:val="40"/>
        </w:rPr>
      </w:pPr>
      <w:r w:rsidRPr="00411B5A">
        <w:rPr>
          <w:b/>
          <w:color w:val="000000" w:themeColor="text1"/>
          <w:w w:val="95"/>
          <w:sz w:val="40"/>
        </w:rPr>
        <w:t>Puljeinvestering</w:t>
      </w:r>
    </w:p>
    <w:p w14:paraId="38F501E6" w14:textId="77777777" w:rsidR="004B28D5" w:rsidRPr="00971A87" w:rsidRDefault="00E223CF" w:rsidP="00E223CF">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E223CF">
        <w:rPr>
          <w:color w:val="808080" w:themeColor="background1" w:themeShade="80"/>
        </w:rPr>
        <w:t xml:space="preserve">Når du investerer via puljer, investerer du sammen med pengeinstituttets andre kunder i forskellige typer af værdipapirer eller kontantindeståender.  </w:t>
      </w:r>
      <w:r>
        <w:rPr>
          <w:color w:val="808080" w:themeColor="background1" w:themeShade="80"/>
        </w:rPr>
        <w:t xml:space="preserve"> </w:t>
      </w:r>
    </w:p>
    <w:p w14:paraId="2A5695D2" w14:textId="77777777" w:rsidR="00E223CF" w:rsidRPr="00E223CF" w:rsidRDefault="00E223CF" w:rsidP="00E223CF">
      <w:pPr>
        <w:pStyle w:val="Heading1"/>
        <w:ind w:left="0" w:right="46"/>
        <w:rPr>
          <w:rFonts w:asciiTheme="minorHAnsi" w:hAnsiTheme="minorHAnsi"/>
          <w:color w:val="000000" w:themeColor="text1"/>
          <w:lang w:val="da-DK"/>
        </w:rPr>
      </w:pPr>
      <w:r w:rsidRPr="00E223CF">
        <w:rPr>
          <w:rFonts w:asciiTheme="minorHAnsi" w:hAnsiTheme="minorHAnsi"/>
          <w:color w:val="000000" w:themeColor="text1"/>
          <w:lang w:val="da-DK"/>
        </w:rPr>
        <w:t>Hvad er en puljeinvestering?</w:t>
      </w:r>
    </w:p>
    <w:p w14:paraId="0A4F6121" w14:textId="7B1E35B9" w:rsidR="00E223CF" w:rsidRDefault="00334E9E" w:rsidP="00E223CF">
      <w:pPr>
        <w:pStyle w:val="BodyText"/>
        <w:spacing w:before="2" w:line="244" w:lineRule="auto"/>
        <w:ind w:right="46"/>
        <w:rPr>
          <w:rFonts w:asciiTheme="minorHAnsi" w:hAnsiTheme="minorHAnsi" w:cstheme="minorHAnsi"/>
          <w:color w:val="808080" w:themeColor="background1" w:themeShade="80"/>
          <w:lang w:val="da-DK"/>
        </w:rPr>
      </w:pPr>
      <w:r w:rsidRPr="00334E9E">
        <w:rPr>
          <w:rFonts w:asciiTheme="minorHAnsi" w:hAnsiTheme="minorHAnsi" w:cstheme="minorHAnsi"/>
          <w:color w:val="808080" w:themeColor="background1" w:themeShade="80"/>
          <w:lang w:val="da-DK"/>
        </w:rPr>
        <w:t>En puljeinvestering er en konstruktion, hvor kunden kan tilmelde et kontantindestående på en konto til deltagelse i en eller flere puljer. Kundens indestående udgør sammen med andre indskyderes tilmeldte midler en samlet pulje, for hvilken der kan investeres efter en på forhånd fastlagt strategi. Strategien for en pulje baseres typisk på en fordeling mellem forskellige aktivklasser (eksempelvis aktier og obligationer) og/eller geografiske fordelinger (eksempelvis Danmark, Norden el.), men kan også have andre opbygninger. Alle puljeinvesteringer er overordnet reguleret af Bekendtgørelse om puljepension og andre skattebegunstigede opsparingsformer m.v. For alle puljer gælder desuden, at der er udarbejdet investeringsrammer, som kan findes på pengeinstituttets hjemmeside.</w:t>
      </w:r>
    </w:p>
    <w:p w14:paraId="4E0F5077" w14:textId="77777777" w:rsidR="00334E9E" w:rsidRPr="00334E9E" w:rsidRDefault="00334E9E" w:rsidP="00E223CF">
      <w:pPr>
        <w:pStyle w:val="BodyText"/>
        <w:spacing w:before="2" w:line="244" w:lineRule="auto"/>
        <w:ind w:right="46"/>
        <w:rPr>
          <w:rFonts w:asciiTheme="minorHAnsi" w:hAnsiTheme="minorHAnsi" w:cstheme="minorHAnsi"/>
          <w:color w:val="808080" w:themeColor="background1" w:themeShade="80"/>
          <w:spacing w:val="-4"/>
          <w:lang w:val="da-DK"/>
        </w:rPr>
      </w:pPr>
    </w:p>
    <w:p w14:paraId="224DDB33" w14:textId="77777777" w:rsidR="00E223CF" w:rsidRPr="00E223CF" w:rsidRDefault="00E223CF" w:rsidP="00E223CF">
      <w:pPr>
        <w:pStyle w:val="Heading1"/>
        <w:ind w:left="0" w:right="46"/>
        <w:rPr>
          <w:rFonts w:asciiTheme="minorHAnsi" w:hAnsiTheme="minorHAnsi"/>
          <w:color w:val="000000" w:themeColor="text1"/>
          <w:lang w:val="da-DK"/>
        </w:rPr>
      </w:pPr>
      <w:r w:rsidRPr="00E223CF">
        <w:rPr>
          <w:rFonts w:asciiTheme="minorHAnsi" w:hAnsiTheme="minorHAnsi"/>
          <w:color w:val="000000" w:themeColor="text1"/>
          <w:lang w:val="da-DK"/>
        </w:rPr>
        <w:t xml:space="preserve">Hvordan foretages indskud? </w:t>
      </w:r>
    </w:p>
    <w:p w14:paraId="2776780F" w14:textId="5488B33F" w:rsidR="00E223CF" w:rsidRDefault="00334E9E" w:rsidP="00E223CF">
      <w:pPr>
        <w:pStyle w:val="BodyText"/>
        <w:spacing w:before="2" w:line="244" w:lineRule="auto"/>
        <w:ind w:right="46"/>
        <w:rPr>
          <w:rFonts w:asciiTheme="minorHAnsi" w:hAnsiTheme="minorHAnsi" w:cstheme="minorHAnsi"/>
          <w:color w:val="808080" w:themeColor="background1" w:themeShade="80"/>
          <w:lang w:val="da-DK"/>
        </w:rPr>
      </w:pPr>
      <w:r w:rsidRPr="00334E9E">
        <w:rPr>
          <w:rFonts w:asciiTheme="minorHAnsi" w:hAnsiTheme="minorHAnsi" w:cstheme="minorHAnsi"/>
          <w:color w:val="808080" w:themeColor="background1" w:themeShade="80"/>
          <w:lang w:val="da-DK"/>
        </w:rPr>
        <w:t>Indskud til puljen foretages via betaling til en individuel puljekonto. Løbende indbetalinger til kontoen vil derfor kontinuerligt komme med i de investeringer, puljen foretager. Indskuddet vil blive stående på kontoen, men vil blive spærret så længe, det er tilmeldt puljen og derfor er der også særlige vilkår omkring udtræden af puljer.</w:t>
      </w:r>
    </w:p>
    <w:p w14:paraId="0A2A1393" w14:textId="77777777" w:rsidR="00334E9E" w:rsidRPr="00334E9E" w:rsidRDefault="00334E9E" w:rsidP="00E223CF">
      <w:pPr>
        <w:pStyle w:val="BodyText"/>
        <w:spacing w:before="2" w:line="244" w:lineRule="auto"/>
        <w:ind w:right="46"/>
        <w:rPr>
          <w:rFonts w:asciiTheme="minorHAnsi" w:hAnsiTheme="minorHAnsi" w:cstheme="minorHAnsi"/>
          <w:color w:val="808080" w:themeColor="background1" w:themeShade="80"/>
          <w:spacing w:val="-4"/>
          <w:lang w:val="da-DK"/>
        </w:rPr>
      </w:pPr>
    </w:p>
    <w:p w14:paraId="0F2DE3C7" w14:textId="77777777" w:rsidR="00E223CF" w:rsidRPr="00E223CF" w:rsidRDefault="00E223CF" w:rsidP="00E223CF">
      <w:pPr>
        <w:pStyle w:val="Heading1"/>
        <w:ind w:left="0" w:right="46"/>
        <w:rPr>
          <w:rFonts w:asciiTheme="minorHAnsi" w:hAnsiTheme="minorHAnsi"/>
          <w:color w:val="000000" w:themeColor="text1"/>
          <w:lang w:val="da-DK"/>
        </w:rPr>
      </w:pPr>
      <w:r w:rsidRPr="00E223CF">
        <w:rPr>
          <w:rFonts w:asciiTheme="minorHAnsi" w:hAnsiTheme="minorHAnsi"/>
          <w:color w:val="000000" w:themeColor="text1"/>
          <w:lang w:val="da-DK"/>
        </w:rPr>
        <w:t xml:space="preserve">Hvilke midler kan anvendes? </w:t>
      </w:r>
    </w:p>
    <w:p w14:paraId="74126B0D" w14:textId="61B3390F" w:rsidR="00E223CF" w:rsidRDefault="00BC2E86" w:rsidP="00E223CF">
      <w:pPr>
        <w:pStyle w:val="BodyText"/>
        <w:spacing w:before="2" w:line="244" w:lineRule="auto"/>
        <w:ind w:right="46"/>
        <w:rPr>
          <w:rFonts w:asciiTheme="minorHAnsi" w:hAnsiTheme="minorHAnsi" w:cstheme="minorHAnsi"/>
          <w:color w:val="808080" w:themeColor="background1" w:themeShade="80"/>
          <w:lang w:val="da-DK"/>
        </w:rPr>
      </w:pPr>
      <w:r w:rsidRPr="00BC2E86">
        <w:rPr>
          <w:rFonts w:asciiTheme="minorHAnsi" w:hAnsiTheme="minorHAnsi" w:cstheme="minorHAnsi"/>
          <w:color w:val="808080" w:themeColor="background1" w:themeShade="80"/>
          <w:lang w:val="da-DK"/>
        </w:rPr>
        <w:t>Det er kun særlige indlån, der kan investeres via puljer – eksempelvis pensioner og børneopsparinger.</w:t>
      </w:r>
    </w:p>
    <w:p w14:paraId="63B52037" w14:textId="77777777" w:rsidR="00BC2E86" w:rsidRPr="00BC2E86" w:rsidRDefault="00BC2E86" w:rsidP="00E223CF">
      <w:pPr>
        <w:pStyle w:val="BodyText"/>
        <w:spacing w:before="2" w:line="244" w:lineRule="auto"/>
        <w:ind w:right="46"/>
        <w:rPr>
          <w:rFonts w:asciiTheme="minorHAnsi" w:hAnsiTheme="minorHAnsi" w:cstheme="minorHAnsi"/>
          <w:color w:val="808080" w:themeColor="background1" w:themeShade="80"/>
          <w:spacing w:val="-4"/>
          <w:lang w:val="da-DK"/>
        </w:rPr>
      </w:pPr>
    </w:p>
    <w:p w14:paraId="01A1CE2F" w14:textId="77777777" w:rsidR="00E223CF" w:rsidRPr="00E223CF" w:rsidRDefault="00E223CF" w:rsidP="00E223CF">
      <w:pPr>
        <w:pStyle w:val="Heading1"/>
        <w:ind w:left="0" w:right="46"/>
        <w:rPr>
          <w:rFonts w:asciiTheme="minorHAnsi" w:hAnsiTheme="minorHAnsi"/>
          <w:color w:val="000000" w:themeColor="text1"/>
          <w:lang w:val="da-DK"/>
        </w:rPr>
      </w:pPr>
      <w:r w:rsidRPr="00E223CF">
        <w:rPr>
          <w:rFonts w:asciiTheme="minorHAnsi" w:hAnsiTheme="minorHAnsi"/>
          <w:color w:val="000000" w:themeColor="text1"/>
          <w:lang w:val="da-DK"/>
        </w:rPr>
        <w:t>Hvad er risikoen?</w:t>
      </w:r>
    </w:p>
    <w:p w14:paraId="7CC2E5BE" w14:textId="77777777" w:rsidR="00BC2E86" w:rsidRDefault="00BC2E86" w:rsidP="00BC2E86">
      <w:pPr>
        <w:pStyle w:val="BodyText"/>
        <w:rPr>
          <w:rFonts w:asciiTheme="minorHAnsi" w:hAnsiTheme="minorHAnsi" w:cstheme="minorHAnsi"/>
          <w:color w:val="808080" w:themeColor="background1" w:themeShade="80"/>
        </w:rPr>
      </w:pPr>
      <w:r w:rsidRPr="00BC2E86">
        <w:rPr>
          <w:rFonts w:asciiTheme="minorHAnsi" w:hAnsiTheme="minorHAnsi" w:cstheme="minorHAnsi"/>
          <w:color w:val="808080" w:themeColor="background1" w:themeShade="80"/>
        </w:rPr>
        <w:t>Puljens risiko vil afhænge af sammensætningen af puljernes investering, og vil således afspejle de underliggende investeringer. Risiko ved at investere i puljer er bl.a.:</w:t>
      </w:r>
    </w:p>
    <w:p w14:paraId="7F9A3A64" w14:textId="64146065" w:rsidR="00BC2E86" w:rsidRPr="00BC2E86" w:rsidRDefault="00BC2E86" w:rsidP="00BC2E86">
      <w:pPr>
        <w:pStyle w:val="BodyText"/>
        <w:rPr>
          <w:rFonts w:asciiTheme="minorHAnsi" w:hAnsiTheme="minorHAnsi" w:cstheme="minorHAnsi"/>
          <w:color w:val="808080" w:themeColor="background1" w:themeShade="80"/>
        </w:rPr>
      </w:pPr>
      <w:r w:rsidRPr="00BC2E86">
        <w:rPr>
          <w:rFonts w:asciiTheme="minorHAnsi" w:hAnsiTheme="minorHAnsi" w:cstheme="minorHAnsi"/>
          <w:color w:val="808080" w:themeColor="background1" w:themeShade="80"/>
        </w:rPr>
        <w:t xml:space="preserve"> </w:t>
      </w:r>
    </w:p>
    <w:p w14:paraId="0E2CB47A" w14:textId="77777777" w:rsidR="00BC2E86" w:rsidRDefault="00BC2E86" w:rsidP="00BC2E86">
      <w:pPr>
        <w:pStyle w:val="BodyText"/>
        <w:rPr>
          <w:rFonts w:asciiTheme="minorHAnsi" w:hAnsiTheme="minorHAnsi" w:cstheme="minorHAnsi"/>
          <w:color w:val="808080" w:themeColor="background1" w:themeShade="80"/>
        </w:rPr>
      </w:pPr>
      <w:r w:rsidRPr="00BC2E86">
        <w:rPr>
          <w:rFonts w:asciiTheme="minorHAnsi" w:hAnsiTheme="minorHAnsi" w:cstheme="minorHAnsi"/>
          <w:i/>
          <w:iCs/>
          <w:color w:val="808080" w:themeColor="background1" w:themeShade="80"/>
        </w:rPr>
        <w:t>Selskabsrisiko</w:t>
      </w:r>
      <w:r w:rsidRPr="00BC2E86">
        <w:rPr>
          <w:rFonts w:asciiTheme="minorHAnsi" w:hAnsiTheme="minorHAnsi" w:cstheme="minorHAnsi"/>
          <w:color w:val="808080" w:themeColor="background1" w:themeShade="80"/>
        </w:rPr>
        <w:t xml:space="preserve">, som er den risiko, der er forbundet med det enkelte </w:t>
      </w:r>
      <w:r w:rsidRPr="00BC2E86">
        <w:rPr>
          <w:rFonts w:asciiTheme="minorHAnsi" w:hAnsiTheme="minorHAnsi" w:cstheme="minorHAnsi"/>
          <w:color w:val="808080" w:themeColor="background1" w:themeShade="80"/>
        </w:rPr>
        <w:t xml:space="preserve">selskab, som puljen har investeret i, og kan f.eks. være indtjeningsvanskeligheder, afhængighed af bestemte kunder nøglepersoner eller andet. </w:t>
      </w:r>
    </w:p>
    <w:p w14:paraId="6218D599" w14:textId="6DC73442" w:rsidR="00BC2E86" w:rsidRDefault="00BC2E86" w:rsidP="00BC2E86">
      <w:pPr>
        <w:pStyle w:val="BodyText"/>
        <w:rPr>
          <w:rFonts w:asciiTheme="minorHAnsi" w:hAnsiTheme="minorHAnsi" w:cstheme="minorHAnsi"/>
          <w:color w:val="808080" w:themeColor="background1" w:themeShade="80"/>
        </w:rPr>
      </w:pPr>
      <w:r w:rsidRPr="00BC2E86">
        <w:rPr>
          <w:rFonts w:asciiTheme="minorHAnsi" w:hAnsiTheme="minorHAnsi" w:cstheme="minorHAnsi"/>
          <w:color w:val="808080" w:themeColor="background1" w:themeShade="80"/>
        </w:rPr>
        <w:br/>
      </w:r>
      <w:r w:rsidRPr="00BC2E86">
        <w:rPr>
          <w:rFonts w:asciiTheme="minorHAnsi" w:hAnsiTheme="minorHAnsi" w:cstheme="minorHAnsi"/>
          <w:i/>
          <w:iCs/>
          <w:color w:val="808080" w:themeColor="background1" w:themeShade="80"/>
        </w:rPr>
        <w:t>Markedsrisiko</w:t>
      </w:r>
      <w:r w:rsidRPr="00BC2E86">
        <w:rPr>
          <w:rFonts w:asciiTheme="minorHAnsi" w:hAnsiTheme="minorHAnsi" w:cstheme="minorHAnsi"/>
          <w:color w:val="808080" w:themeColor="background1" w:themeShade="80"/>
        </w:rPr>
        <w:t>, som er en risiko fælles for alle selskaber eller en gruppe af selskaber, som beskæftiger sig med samme område. Som udgangspunkt er der tale om udefrakommende begivenheder eller ændringer, der påvirker alle selskaber, selskaber inden for enkelte brancher eller i et enkelt land. Det kan f.eks. være konjunkturbevægelser, renteudvikling eller politiske faktorer, som ændrer markedssituationen i en bestemt branche.</w:t>
      </w:r>
    </w:p>
    <w:p w14:paraId="54F0FC48" w14:textId="77777777" w:rsidR="00BC2E86" w:rsidRDefault="00BC2E86" w:rsidP="00BC2E86">
      <w:pPr>
        <w:pStyle w:val="BodyText"/>
        <w:rPr>
          <w:rFonts w:asciiTheme="minorHAnsi" w:hAnsiTheme="minorHAnsi" w:cstheme="minorHAnsi"/>
          <w:color w:val="808080" w:themeColor="background1" w:themeShade="80"/>
        </w:rPr>
      </w:pPr>
      <w:r w:rsidRPr="00BC2E86">
        <w:rPr>
          <w:rFonts w:asciiTheme="minorHAnsi" w:hAnsiTheme="minorHAnsi" w:cstheme="minorHAnsi"/>
          <w:color w:val="808080" w:themeColor="background1" w:themeShade="80"/>
        </w:rPr>
        <w:br/>
      </w:r>
      <w:r w:rsidRPr="00BC2E86">
        <w:rPr>
          <w:rFonts w:asciiTheme="minorHAnsi" w:hAnsiTheme="minorHAnsi" w:cstheme="minorHAnsi"/>
          <w:i/>
          <w:iCs/>
          <w:color w:val="808080" w:themeColor="background1" w:themeShade="80"/>
        </w:rPr>
        <w:t>Renterisiko</w:t>
      </w:r>
      <w:r w:rsidRPr="00BC2E86">
        <w:rPr>
          <w:rFonts w:asciiTheme="minorHAnsi" w:hAnsiTheme="minorHAnsi" w:cstheme="minorHAnsi"/>
          <w:color w:val="808080" w:themeColor="background1" w:themeShade="80"/>
        </w:rPr>
        <w:t xml:space="preserve">, som er risikoen ved de kursudsving, som puljens obligationsinvesteringer rammes af, når renteniveauet stiger og falder, og når øvrige markedsforhold og andre omstændigheder ændrer sig. Valutakursrisiko, som er risikoen for udsving i valutakursen for investeringer som handles i en anden valuta. </w:t>
      </w:r>
    </w:p>
    <w:p w14:paraId="14B2F602" w14:textId="77777777" w:rsidR="00BC2E86" w:rsidRDefault="00BC2E86" w:rsidP="00BC2E86">
      <w:pPr>
        <w:pStyle w:val="BodyText"/>
        <w:rPr>
          <w:rFonts w:asciiTheme="minorHAnsi" w:hAnsiTheme="minorHAnsi" w:cstheme="minorHAnsi"/>
          <w:color w:val="808080" w:themeColor="background1" w:themeShade="80"/>
        </w:rPr>
      </w:pPr>
    </w:p>
    <w:p w14:paraId="4A4A3BE5" w14:textId="77777777" w:rsidR="00BC2E86" w:rsidRDefault="00BC2E86" w:rsidP="00BC2E86">
      <w:pPr>
        <w:pStyle w:val="BodyText"/>
        <w:rPr>
          <w:rFonts w:asciiTheme="minorHAnsi" w:hAnsiTheme="minorHAnsi" w:cstheme="minorHAnsi"/>
          <w:color w:val="808080" w:themeColor="background1" w:themeShade="80"/>
        </w:rPr>
      </w:pPr>
      <w:r w:rsidRPr="00BC2E86">
        <w:rPr>
          <w:rFonts w:asciiTheme="minorHAnsi" w:hAnsiTheme="minorHAnsi" w:cstheme="minorHAnsi"/>
          <w:i/>
          <w:iCs/>
          <w:color w:val="808080" w:themeColor="background1" w:themeShade="80"/>
          <w:lang w:val="da-DK"/>
        </w:rPr>
        <w:t>Konkursrisiko</w:t>
      </w:r>
      <w:r w:rsidRPr="00BC2E86">
        <w:rPr>
          <w:rFonts w:asciiTheme="minorHAnsi" w:hAnsiTheme="minorHAnsi" w:cstheme="minorHAnsi"/>
          <w:color w:val="808080" w:themeColor="background1" w:themeShade="80"/>
          <w:lang w:val="da-DK"/>
        </w:rPr>
        <w:t xml:space="preserve">, De underliggende papirer puljen investerer i er pengeinstituttets ejendom, men afkastet fra papirerne tilskrives puljedeltagernes konti. </w:t>
      </w:r>
      <w:bookmarkStart w:id="0" w:name="_Hlk147405326"/>
      <w:r w:rsidRPr="00BC2E86">
        <w:rPr>
          <w:rFonts w:asciiTheme="minorHAnsi" w:hAnsiTheme="minorHAnsi" w:cstheme="minorHAnsi"/>
          <w:color w:val="808080" w:themeColor="background1" w:themeShade="80"/>
        </w:rPr>
        <w:t xml:space="preserve">Ved pengeinstituttets eventuelle konkurs vil pensionsmidler være dækket ubegrænset. </w:t>
      </w:r>
      <w:bookmarkEnd w:id="0"/>
    </w:p>
    <w:p w14:paraId="21A95F3F" w14:textId="77777777" w:rsidR="00BC2E86" w:rsidRDefault="00BC2E86" w:rsidP="00BC2E86">
      <w:pPr>
        <w:pStyle w:val="BodyText"/>
        <w:rPr>
          <w:rFonts w:asciiTheme="minorHAnsi" w:hAnsiTheme="minorHAnsi" w:cstheme="minorHAnsi"/>
          <w:color w:val="808080" w:themeColor="background1" w:themeShade="80"/>
        </w:rPr>
      </w:pPr>
    </w:p>
    <w:p w14:paraId="5ABF180C" w14:textId="1CE89503" w:rsidR="00BC2E86" w:rsidRDefault="00BC2E86" w:rsidP="00BC2E86">
      <w:pPr>
        <w:pStyle w:val="BodyText"/>
        <w:rPr>
          <w:rFonts w:asciiTheme="minorHAnsi" w:hAnsiTheme="minorHAnsi" w:cstheme="minorHAnsi"/>
          <w:color w:val="808080" w:themeColor="background1" w:themeShade="80"/>
          <w:lang w:val="da-DK"/>
        </w:rPr>
      </w:pPr>
      <w:r w:rsidRPr="00BC2E86">
        <w:rPr>
          <w:rFonts w:asciiTheme="minorHAnsi" w:hAnsiTheme="minorHAnsi" w:cstheme="minorHAnsi"/>
          <w:color w:val="808080" w:themeColor="background1" w:themeShade="80"/>
          <w:lang w:val="da-DK"/>
        </w:rPr>
        <w:t>Børneopsparingsmidler indbetalt før 1/6 – 2015 er dækket af Garantiformuen, mens indbetalinger efter 1/6 – 2015 ikke er dækket.</w:t>
      </w:r>
    </w:p>
    <w:p w14:paraId="16AD802D" w14:textId="77777777" w:rsidR="00BC2E86" w:rsidRPr="00BC2E86" w:rsidRDefault="00BC2E86" w:rsidP="00BC2E86">
      <w:pPr>
        <w:pStyle w:val="BodyText"/>
        <w:rPr>
          <w:rFonts w:asciiTheme="minorHAnsi" w:hAnsiTheme="minorHAnsi" w:cstheme="minorHAnsi"/>
          <w:color w:val="808080" w:themeColor="background1" w:themeShade="80"/>
          <w:lang w:val="da-DK"/>
        </w:rPr>
      </w:pPr>
    </w:p>
    <w:p w14:paraId="700A58CD" w14:textId="77777777" w:rsidR="00BC2E86" w:rsidRDefault="00BC2E86" w:rsidP="00BC2E86">
      <w:pPr>
        <w:pStyle w:val="BodyText"/>
        <w:rPr>
          <w:rFonts w:asciiTheme="minorHAnsi" w:hAnsiTheme="minorHAnsi" w:cstheme="minorHAnsi"/>
          <w:color w:val="808080" w:themeColor="background1" w:themeShade="80"/>
        </w:rPr>
      </w:pPr>
      <w:r w:rsidRPr="00BC2E86">
        <w:rPr>
          <w:rFonts w:asciiTheme="minorHAnsi" w:hAnsiTheme="minorHAnsi" w:cstheme="minorHAnsi"/>
          <w:i/>
          <w:iCs/>
          <w:color w:val="808080" w:themeColor="background1" w:themeShade="80"/>
        </w:rPr>
        <w:t>Bæredygtighedsrisiko</w:t>
      </w:r>
      <w:r w:rsidRPr="00BC2E86">
        <w:rPr>
          <w:rFonts w:asciiTheme="minorHAnsi" w:hAnsiTheme="minorHAnsi" w:cstheme="minorHAnsi"/>
          <w:i/>
          <w:iCs/>
          <w:color w:val="808080" w:themeColor="background1" w:themeShade="80"/>
        </w:rPr>
        <w:br/>
      </w:r>
      <w:r w:rsidRPr="00BC2E86">
        <w:rPr>
          <w:rFonts w:asciiTheme="minorHAnsi" w:hAnsiTheme="minorHAnsi" w:cstheme="minorHAnsi"/>
          <w:color w:val="808080" w:themeColor="background1" w:themeShade="80"/>
        </w:rPr>
        <w:t xml:space="preserve">Ved bæredygtighedsrisiko forstås en miljømæssig, social eller ledelsesmæssig begivenhed eller omstændighed, som hvis den indtræffer, kan have negativ indvirkning på værdien af </w:t>
      </w:r>
      <w:r w:rsidRPr="00BC2E86">
        <w:rPr>
          <w:rFonts w:asciiTheme="minorHAnsi" w:hAnsiTheme="minorHAnsi" w:cstheme="minorHAnsi"/>
          <w:color w:val="808080" w:themeColor="background1" w:themeShade="80"/>
        </w:rPr>
        <w:t>investeringen. </w:t>
      </w:r>
    </w:p>
    <w:p w14:paraId="57FDA582" w14:textId="77777777" w:rsidR="00BC2E86" w:rsidRPr="00BC2E86" w:rsidRDefault="00BC2E86" w:rsidP="00BC2E86">
      <w:pPr>
        <w:pStyle w:val="BodyText"/>
        <w:rPr>
          <w:rFonts w:asciiTheme="minorHAnsi" w:hAnsiTheme="minorHAnsi" w:cstheme="minorHAnsi"/>
          <w:color w:val="808080" w:themeColor="background1" w:themeShade="80"/>
        </w:rPr>
      </w:pPr>
      <w:r w:rsidRPr="00BC2E86">
        <w:rPr>
          <w:rFonts w:asciiTheme="minorHAnsi" w:hAnsiTheme="minorHAnsi" w:cstheme="minorHAnsi"/>
          <w:color w:val="808080" w:themeColor="background1" w:themeShade="80"/>
        </w:rPr>
        <w:t>Bæredygtighedsrisici kan identificeres som særlige risici forbundet med udsteder i forbindelse med:</w:t>
      </w:r>
    </w:p>
    <w:p w14:paraId="38C361F1" w14:textId="77777777" w:rsidR="00BC2E86" w:rsidRPr="00BC2E86" w:rsidRDefault="00BC2E86" w:rsidP="00BC2E86">
      <w:pPr>
        <w:pStyle w:val="BodyText"/>
        <w:rPr>
          <w:rFonts w:asciiTheme="minorHAnsi" w:hAnsiTheme="minorHAnsi" w:cstheme="minorHAnsi"/>
          <w:color w:val="808080" w:themeColor="background1" w:themeShade="80"/>
        </w:rPr>
      </w:pPr>
      <w:r w:rsidRPr="00BC2E86">
        <w:rPr>
          <w:rFonts w:asciiTheme="minorHAnsi" w:hAnsiTheme="minorHAnsi" w:cstheme="minorHAnsi"/>
          <w:color w:val="808080" w:themeColor="background1" w:themeShade="80"/>
        </w:rPr>
        <w:t> </w:t>
      </w:r>
    </w:p>
    <w:p w14:paraId="3A911BBD" w14:textId="2DD39222" w:rsidR="00BC2E86" w:rsidRPr="00BC2E86" w:rsidRDefault="00BC2E86" w:rsidP="00BC2E86">
      <w:pPr>
        <w:pStyle w:val="BodyText"/>
        <w:rPr>
          <w:rFonts w:asciiTheme="minorHAnsi" w:hAnsiTheme="minorHAnsi" w:cstheme="minorHAnsi"/>
          <w:color w:val="808080" w:themeColor="background1" w:themeShade="80"/>
          <w:lang w:val="da-DK"/>
        </w:rPr>
      </w:pPr>
      <w:r w:rsidRPr="00BC2E86">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BC2E86">
        <w:rPr>
          <w:rFonts w:asciiTheme="minorHAnsi" w:hAnsiTheme="minorHAnsi" w:cstheme="minorHAnsi"/>
          <w:color w:val="808080" w:themeColor="background1" w:themeShade="80"/>
          <w:lang w:val="da-DK"/>
        </w:rPr>
        <w:t>Den grønne omstilling, hvilket vil påvirke efterspørgslen efter forskellige energikilder samt regulering for forbruget af disse</w:t>
      </w:r>
    </w:p>
    <w:p w14:paraId="2ABF566B" w14:textId="77777777" w:rsidR="00BC2E86" w:rsidRPr="00BC2E86" w:rsidRDefault="00BC2E86" w:rsidP="00BC2E86">
      <w:pPr>
        <w:pStyle w:val="BodyText"/>
        <w:rPr>
          <w:rFonts w:asciiTheme="minorHAnsi" w:hAnsiTheme="minorHAnsi" w:cstheme="minorHAnsi"/>
          <w:color w:val="808080" w:themeColor="background1" w:themeShade="80"/>
          <w:lang w:val="da-DK"/>
        </w:rPr>
      </w:pPr>
    </w:p>
    <w:p w14:paraId="6BE1FC8C" w14:textId="3BE52772" w:rsidR="00BC2E86" w:rsidRDefault="00BC2E86" w:rsidP="00BC2E86">
      <w:pPr>
        <w:pStyle w:val="BodyText"/>
        <w:rPr>
          <w:rFonts w:asciiTheme="minorHAnsi" w:hAnsiTheme="minorHAnsi" w:cstheme="minorHAnsi"/>
          <w:color w:val="808080" w:themeColor="background1" w:themeShade="80"/>
          <w:lang w:val="da-DK"/>
        </w:rPr>
      </w:pPr>
      <w:r w:rsidRPr="00BC2E86">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BC2E86">
        <w:rPr>
          <w:rFonts w:asciiTheme="minorHAnsi" w:hAnsiTheme="minorHAnsi" w:cstheme="minorHAnsi"/>
          <w:color w:val="808080" w:themeColor="background1" w:themeShade="80"/>
          <w:lang w:val="da-DK"/>
        </w:rPr>
        <w:t>Klimaforandringer, hvilket kan indebære fysiske risici for udsteders værdier</w:t>
      </w:r>
    </w:p>
    <w:p w14:paraId="395E09A3" w14:textId="77777777" w:rsidR="00BC2E86" w:rsidRPr="00BC2E86" w:rsidRDefault="00BC2E86" w:rsidP="00BC2E86">
      <w:pPr>
        <w:pStyle w:val="BodyText"/>
        <w:rPr>
          <w:rFonts w:asciiTheme="minorHAnsi" w:hAnsiTheme="minorHAnsi" w:cstheme="minorHAnsi"/>
          <w:color w:val="808080" w:themeColor="background1" w:themeShade="80"/>
          <w:lang w:val="da-DK"/>
        </w:rPr>
      </w:pPr>
    </w:p>
    <w:p w14:paraId="57A26D5C" w14:textId="18CC99D4" w:rsidR="00BC2E86" w:rsidRPr="00BC2E86" w:rsidRDefault="00BC2E86" w:rsidP="00BC2E86">
      <w:pPr>
        <w:pStyle w:val="BodyText"/>
        <w:rPr>
          <w:rFonts w:asciiTheme="minorHAnsi" w:hAnsiTheme="minorHAnsi" w:cstheme="minorHAnsi"/>
          <w:color w:val="808080" w:themeColor="background1" w:themeShade="80"/>
          <w:lang w:val="da-DK"/>
        </w:rPr>
      </w:pPr>
      <w:r w:rsidRPr="00BC2E86">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BC2E86">
        <w:rPr>
          <w:rFonts w:asciiTheme="minorHAnsi" w:hAnsiTheme="minorHAnsi" w:cstheme="minorHAnsi"/>
          <w:color w:val="808080" w:themeColor="background1" w:themeShade="80"/>
          <w:lang w:val="da-DK"/>
        </w:rPr>
        <w:t>Forurening, hvilket kan indebære omkostninger til udsteder for oprydning eller omstilling af produktionen</w:t>
      </w:r>
    </w:p>
    <w:p w14:paraId="2D89D32D" w14:textId="77777777" w:rsidR="00BC2E86" w:rsidRPr="00BC2E86" w:rsidRDefault="00BC2E86" w:rsidP="00BC2E86">
      <w:pPr>
        <w:pStyle w:val="BodyText"/>
        <w:rPr>
          <w:rFonts w:asciiTheme="minorHAnsi" w:hAnsiTheme="minorHAnsi" w:cstheme="minorHAnsi"/>
          <w:color w:val="808080" w:themeColor="background1" w:themeShade="80"/>
          <w:lang w:val="da-DK"/>
        </w:rPr>
      </w:pPr>
    </w:p>
    <w:p w14:paraId="0D4A4ED9" w14:textId="56282BF4" w:rsidR="00BC2E86" w:rsidRPr="00BC2E86" w:rsidRDefault="00BC2E86" w:rsidP="00BC2E86">
      <w:pPr>
        <w:pStyle w:val="BodyText"/>
        <w:rPr>
          <w:rFonts w:asciiTheme="minorHAnsi" w:hAnsiTheme="minorHAnsi" w:cstheme="minorHAnsi"/>
          <w:color w:val="808080" w:themeColor="background1" w:themeShade="80"/>
          <w:lang w:val="da-DK"/>
        </w:rPr>
      </w:pPr>
      <w:r w:rsidRPr="00BC2E86">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BC2E86">
        <w:rPr>
          <w:rFonts w:asciiTheme="minorHAnsi" w:hAnsiTheme="minorHAnsi" w:cstheme="minorHAnsi"/>
          <w:color w:val="808080" w:themeColor="background1" w:themeShade="80"/>
          <w:lang w:val="da-DK"/>
        </w:rPr>
        <w:t>God selskabsledelse, hvor mangel på diversitet og uafhængighed i bestyrelsen kan spille en rolle</w:t>
      </w:r>
    </w:p>
    <w:p w14:paraId="4E7384B4" w14:textId="77777777" w:rsidR="00BC2E86" w:rsidRPr="00BC2E86" w:rsidRDefault="00BC2E86" w:rsidP="00BC2E86">
      <w:pPr>
        <w:pStyle w:val="BodyText"/>
        <w:rPr>
          <w:rFonts w:asciiTheme="minorHAnsi" w:hAnsiTheme="minorHAnsi" w:cstheme="minorHAnsi"/>
          <w:color w:val="808080" w:themeColor="background1" w:themeShade="80"/>
          <w:lang w:val="da-DK"/>
        </w:rPr>
      </w:pPr>
    </w:p>
    <w:p w14:paraId="76BF87F0" w14:textId="44BAD468" w:rsidR="00BC2E86" w:rsidRDefault="00BC2E86" w:rsidP="00BC2E86">
      <w:pPr>
        <w:pStyle w:val="BodyText"/>
        <w:rPr>
          <w:rFonts w:asciiTheme="minorHAnsi" w:hAnsiTheme="minorHAnsi" w:cstheme="minorHAnsi"/>
          <w:color w:val="808080" w:themeColor="background1" w:themeShade="80"/>
          <w:lang w:val="da-DK"/>
        </w:rPr>
      </w:pPr>
      <w:r w:rsidRPr="00BC2E86">
        <w:rPr>
          <w:rFonts w:asciiTheme="minorHAnsi" w:hAnsiTheme="minorHAnsi" w:cstheme="minorHAnsi"/>
          <w:color w:val="808080" w:themeColor="background1" w:themeShade="80"/>
          <w:lang w:val="da-DK"/>
        </w:rPr>
        <w:t>Dette er eksempler på bæredygtigheds risici, og der kan være andre risici, der er særligt relevante for bestemte udstedere.</w:t>
      </w:r>
    </w:p>
    <w:p w14:paraId="6FFACD1C" w14:textId="77777777" w:rsidR="00BC2E86" w:rsidRPr="00BC2E86" w:rsidRDefault="00BC2E86" w:rsidP="00BC2E86">
      <w:pPr>
        <w:pStyle w:val="BodyText"/>
        <w:rPr>
          <w:rFonts w:asciiTheme="minorHAnsi" w:hAnsiTheme="minorHAnsi" w:cstheme="minorHAnsi"/>
          <w:color w:val="808080" w:themeColor="background1" w:themeShade="80"/>
          <w:lang w:val="da-DK"/>
        </w:rPr>
      </w:pPr>
    </w:p>
    <w:p w14:paraId="09A51758" w14:textId="77777777" w:rsidR="00E223CF" w:rsidRPr="00E223CF" w:rsidRDefault="00E223CF" w:rsidP="00E223CF">
      <w:pPr>
        <w:pStyle w:val="Heading1"/>
        <w:ind w:left="0" w:right="46"/>
        <w:rPr>
          <w:rFonts w:asciiTheme="minorHAnsi" w:hAnsiTheme="minorHAnsi"/>
          <w:color w:val="000000" w:themeColor="text1"/>
          <w:lang w:val="da-DK"/>
        </w:rPr>
      </w:pPr>
      <w:r w:rsidRPr="00E223CF">
        <w:rPr>
          <w:rFonts w:asciiTheme="minorHAnsi" w:hAnsiTheme="minorHAnsi"/>
          <w:color w:val="000000" w:themeColor="text1"/>
          <w:lang w:val="da-DK"/>
        </w:rPr>
        <w:t>Skat</w:t>
      </w:r>
    </w:p>
    <w:p w14:paraId="1B8E8FF2" w14:textId="77777777" w:rsidR="00BC2E86" w:rsidRPr="00BC2E86" w:rsidRDefault="00BC2E86" w:rsidP="00BC2E86">
      <w:pPr>
        <w:pStyle w:val="BodyText"/>
        <w:rPr>
          <w:rFonts w:asciiTheme="minorHAnsi" w:hAnsiTheme="minorHAnsi" w:cstheme="minorHAnsi"/>
          <w:color w:val="808080" w:themeColor="background1" w:themeShade="80"/>
        </w:rPr>
      </w:pPr>
      <w:r w:rsidRPr="00BC2E86">
        <w:rPr>
          <w:rFonts w:asciiTheme="minorHAnsi" w:hAnsiTheme="minorHAnsi" w:cstheme="minorHAnsi"/>
          <w:color w:val="808080" w:themeColor="background1" w:themeShade="80"/>
        </w:rPr>
        <w:t>Den skattemæssige behandling af afkast fra investering i puljer er forskellig, alt efter om du investerer via en pensionsopsparing eller en børneopsparing.</w:t>
      </w:r>
    </w:p>
    <w:p w14:paraId="4734FA59" w14:textId="77777777" w:rsidR="00BC2E86" w:rsidRPr="00BC2E86" w:rsidRDefault="00BC2E86" w:rsidP="00BC2E86">
      <w:pPr>
        <w:pStyle w:val="BodyText"/>
        <w:rPr>
          <w:rFonts w:asciiTheme="minorHAnsi" w:hAnsiTheme="minorHAnsi" w:cstheme="minorHAnsi"/>
          <w:color w:val="808080" w:themeColor="background1" w:themeShade="80"/>
        </w:rPr>
      </w:pPr>
      <w:r w:rsidRPr="00BC2E86">
        <w:rPr>
          <w:rFonts w:asciiTheme="minorHAnsi" w:hAnsiTheme="minorHAnsi" w:cstheme="minorHAnsi"/>
          <w:color w:val="808080" w:themeColor="background1" w:themeShade="80"/>
        </w:rPr>
        <w:t>Den skattemæssige behandling kan variere og ændre sig afhængig af dine skattemæssige forhold, eller som følge af ændrede regler for beskatning.</w:t>
      </w:r>
    </w:p>
    <w:p w14:paraId="56751474" w14:textId="77777777" w:rsidR="00BC2E86" w:rsidRPr="00BC2E86" w:rsidRDefault="00BC2E86" w:rsidP="00BC2E86">
      <w:pPr>
        <w:pStyle w:val="BodyText"/>
        <w:rPr>
          <w:rFonts w:asciiTheme="minorHAnsi" w:hAnsiTheme="minorHAnsi" w:cstheme="minorHAnsi"/>
          <w:color w:val="808080" w:themeColor="background1" w:themeShade="80"/>
        </w:rPr>
      </w:pPr>
      <w:r w:rsidRPr="00BC2E86">
        <w:rPr>
          <w:rFonts w:asciiTheme="minorHAnsi" w:hAnsiTheme="minorHAnsi" w:cstheme="minorHAnsi"/>
          <w:color w:val="808080" w:themeColor="background1" w:themeShade="80"/>
        </w:rPr>
        <w:t xml:space="preserve">Vi anbefaler derfor altid, at du kontakter en skatterådgiver for at få klarlagt de skattemæssige konsekvenser inden du investerer i puljer. </w:t>
      </w:r>
    </w:p>
    <w:p w14:paraId="7EBFDB45" w14:textId="77777777" w:rsidR="00E223CF" w:rsidRPr="00E223CF" w:rsidRDefault="00E223CF" w:rsidP="00E223CF">
      <w:pPr>
        <w:pStyle w:val="BodyText"/>
        <w:spacing w:before="2" w:line="244" w:lineRule="auto"/>
        <w:ind w:right="46"/>
        <w:rPr>
          <w:rFonts w:asciiTheme="minorHAnsi" w:hAnsiTheme="minorHAnsi"/>
          <w:color w:val="808080" w:themeColor="background1" w:themeShade="80"/>
          <w:spacing w:val="-4"/>
          <w:lang w:val="da-DK"/>
        </w:rPr>
      </w:pPr>
    </w:p>
    <w:p w14:paraId="214BE5F9" w14:textId="77777777" w:rsidR="00E223CF" w:rsidRPr="00E223CF" w:rsidRDefault="00E223CF" w:rsidP="00E223CF">
      <w:pPr>
        <w:pStyle w:val="Heading1"/>
        <w:ind w:left="0" w:right="46"/>
        <w:rPr>
          <w:rFonts w:asciiTheme="minorHAnsi" w:hAnsiTheme="minorHAnsi"/>
          <w:color w:val="000000" w:themeColor="text1"/>
          <w:lang w:val="da-DK"/>
        </w:rPr>
      </w:pPr>
      <w:r w:rsidRPr="00E223CF">
        <w:rPr>
          <w:rFonts w:asciiTheme="minorHAnsi" w:hAnsiTheme="minorHAnsi"/>
          <w:color w:val="000000" w:themeColor="text1"/>
          <w:lang w:val="da-DK"/>
        </w:rPr>
        <w:t>Forskellige puljer</w:t>
      </w:r>
    </w:p>
    <w:p w14:paraId="43B059B8" w14:textId="77777777" w:rsidR="00BC2E86" w:rsidRPr="00BC2E86" w:rsidRDefault="00BC2E86" w:rsidP="00BC2E86">
      <w:pPr>
        <w:pStyle w:val="BodyText"/>
        <w:rPr>
          <w:rFonts w:asciiTheme="minorHAnsi" w:hAnsiTheme="minorHAnsi" w:cstheme="minorHAnsi"/>
          <w:color w:val="808080" w:themeColor="background1" w:themeShade="80"/>
        </w:rPr>
      </w:pPr>
      <w:r w:rsidRPr="00BC2E86">
        <w:rPr>
          <w:rFonts w:asciiTheme="minorHAnsi" w:hAnsiTheme="minorHAnsi" w:cstheme="minorHAnsi"/>
          <w:color w:val="808080" w:themeColor="background1" w:themeShade="80"/>
        </w:rPr>
        <w:t>Du kan finde en beskrivelse af de puljer, vi udbyder samt omkostninger forbundet med at investere via vores puljer på vores hjemmeside eller ved at kontakte os.</w:t>
      </w:r>
    </w:p>
    <w:p w14:paraId="121EE3E3" w14:textId="77777777" w:rsidR="00DB07EA" w:rsidRDefault="00DB07EA" w:rsidP="00E223CF">
      <w:pPr>
        <w:pStyle w:val="BodyText"/>
        <w:spacing w:before="2" w:line="244" w:lineRule="auto"/>
        <w:ind w:right="46"/>
        <w:rPr>
          <w:rFonts w:asciiTheme="minorHAnsi" w:hAnsiTheme="minorHAnsi"/>
          <w:color w:val="808080" w:themeColor="background1" w:themeShade="80"/>
          <w:spacing w:val="-4"/>
          <w:lang w:val="da-DK"/>
        </w:rPr>
      </w:pPr>
    </w:p>
    <w:p w14:paraId="3082CC2E" w14:textId="54D59A2D" w:rsidR="004B28D5" w:rsidRPr="00971A87" w:rsidRDefault="00DB07EA" w:rsidP="00BE1BC5">
      <w:pPr>
        <w:pStyle w:val="BodyText"/>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00334E9E">
        <w:rPr>
          <w:rFonts w:asciiTheme="minorHAnsi" w:hAnsiTheme="minorHAnsi" w:cstheme="minorHAnsi"/>
          <w:noProof/>
          <w:color w:val="808080" w:themeColor="background1" w:themeShade="80"/>
        </w:rPr>
        <w:t>25. October 2023</w:t>
      </w:r>
      <w:r w:rsidRPr="004F0B90">
        <w:rPr>
          <w:rFonts w:asciiTheme="minorHAnsi" w:hAnsiTheme="minorHAnsi" w:cstheme="minorHAnsi"/>
          <w:color w:val="808080" w:themeColor="background1" w:themeShade="80"/>
        </w:rPr>
        <w:fldChar w:fldCharType="end"/>
      </w:r>
    </w:p>
    <w:p w14:paraId="7E12FDA1" w14:textId="0FA461AB" w:rsidR="00DB07EA" w:rsidRPr="00DB07EA" w:rsidRDefault="00DB07EA" w:rsidP="00DB07EA">
      <w:pPr>
        <w:tabs>
          <w:tab w:val="left" w:pos="2715"/>
        </w:tabs>
      </w:pPr>
    </w:p>
    <w:sectPr w:rsidR="00DB07EA" w:rsidRPr="00DB07EA"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B292" w14:textId="77777777" w:rsidR="009E6B1F" w:rsidRDefault="009E6B1F" w:rsidP="009E6B1F">
      <w:pPr>
        <w:spacing w:after="0" w:line="240" w:lineRule="auto"/>
      </w:pPr>
      <w:r>
        <w:separator/>
      </w:r>
    </w:p>
  </w:endnote>
  <w:endnote w:type="continuationSeparator" w:id="0">
    <w:p w14:paraId="5BE8A14D" w14:textId="77777777" w:rsidR="009E6B1F" w:rsidRDefault="009E6B1F" w:rsidP="009E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FoundryFormSans-Book">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1C72" w14:textId="77777777" w:rsidR="009E6B1F" w:rsidRDefault="009E6B1F" w:rsidP="009E6B1F">
      <w:pPr>
        <w:spacing w:after="0" w:line="240" w:lineRule="auto"/>
      </w:pPr>
      <w:r>
        <w:separator/>
      </w:r>
    </w:p>
  </w:footnote>
  <w:footnote w:type="continuationSeparator" w:id="0">
    <w:p w14:paraId="30C18D62" w14:textId="77777777" w:rsidR="009E6B1F" w:rsidRDefault="009E6B1F" w:rsidP="009E6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A44AD"/>
    <w:multiLevelType w:val="hybridMultilevel"/>
    <w:tmpl w:val="58CAD232"/>
    <w:lvl w:ilvl="0" w:tplc="696CD5EC">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9366AD5"/>
    <w:multiLevelType w:val="hybridMultilevel"/>
    <w:tmpl w:val="9B20AA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A864069"/>
    <w:multiLevelType w:val="hybridMultilevel"/>
    <w:tmpl w:val="9C1E94EE"/>
    <w:lvl w:ilvl="0" w:tplc="5A82AA10">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E0A2E11"/>
    <w:multiLevelType w:val="hybridMultilevel"/>
    <w:tmpl w:val="AE266BF4"/>
    <w:lvl w:ilvl="0" w:tplc="6442D472">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9E02468"/>
    <w:multiLevelType w:val="hybridMultilevel"/>
    <w:tmpl w:val="C78A818E"/>
    <w:lvl w:ilvl="0" w:tplc="71F40590">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B9233B7"/>
    <w:multiLevelType w:val="hybridMultilevel"/>
    <w:tmpl w:val="E4529E38"/>
    <w:lvl w:ilvl="0" w:tplc="7200D182">
      <w:numFmt w:val="bullet"/>
      <w:lvlText w:val="-"/>
      <w:lvlJc w:val="left"/>
      <w:pPr>
        <w:ind w:left="831" w:hanging="360"/>
      </w:pPr>
      <w:rPr>
        <w:rFonts w:ascii="FoundryFormSans-Book" w:eastAsia="FoundryFormSans-Book" w:hAnsi="FoundryFormSans-Book" w:cs="FoundryFormSans-Book" w:hint="default"/>
      </w:rPr>
    </w:lvl>
    <w:lvl w:ilvl="1" w:tplc="04060003" w:tentative="1">
      <w:start w:val="1"/>
      <w:numFmt w:val="bullet"/>
      <w:lvlText w:val="o"/>
      <w:lvlJc w:val="left"/>
      <w:pPr>
        <w:ind w:left="1551" w:hanging="360"/>
      </w:pPr>
      <w:rPr>
        <w:rFonts w:ascii="Courier New" w:hAnsi="Courier New" w:cs="Courier New" w:hint="default"/>
      </w:rPr>
    </w:lvl>
    <w:lvl w:ilvl="2" w:tplc="04060005" w:tentative="1">
      <w:start w:val="1"/>
      <w:numFmt w:val="bullet"/>
      <w:lvlText w:val=""/>
      <w:lvlJc w:val="left"/>
      <w:pPr>
        <w:ind w:left="2271" w:hanging="360"/>
      </w:pPr>
      <w:rPr>
        <w:rFonts w:ascii="Wingdings" w:hAnsi="Wingdings" w:hint="default"/>
      </w:rPr>
    </w:lvl>
    <w:lvl w:ilvl="3" w:tplc="04060001" w:tentative="1">
      <w:start w:val="1"/>
      <w:numFmt w:val="bullet"/>
      <w:lvlText w:val=""/>
      <w:lvlJc w:val="left"/>
      <w:pPr>
        <w:ind w:left="2991" w:hanging="360"/>
      </w:pPr>
      <w:rPr>
        <w:rFonts w:ascii="Symbol" w:hAnsi="Symbol" w:hint="default"/>
      </w:rPr>
    </w:lvl>
    <w:lvl w:ilvl="4" w:tplc="04060003" w:tentative="1">
      <w:start w:val="1"/>
      <w:numFmt w:val="bullet"/>
      <w:lvlText w:val="o"/>
      <w:lvlJc w:val="left"/>
      <w:pPr>
        <w:ind w:left="3711" w:hanging="360"/>
      </w:pPr>
      <w:rPr>
        <w:rFonts w:ascii="Courier New" w:hAnsi="Courier New" w:cs="Courier New" w:hint="default"/>
      </w:rPr>
    </w:lvl>
    <w:lvl w:ilvl="5" w:tplc="04060005" w:tentative="1">
      <w:start w:val="1"/>
      <w:numFmt w:val="bullet"/>
      <w:lvlText w:val=""/>
      <w:lvlJc w:val="left"/>
      <w:pPr>
        <w:ind w:left="4431" w:hanging="360"/>
      </w:pPr>
      <w:rPr>
        <w:rFonts w:ascii="Wingdings" w:hAnsi="Wingdings" w:hint="default"/>
      </w:rPr>
    </w:lvl>
    <w:lvl w:ilvl="6" w:tplc="04060001" w:tentative="1">
      <w:start w:val="1"/>
      <w:numFmt w:val="bullet"/>
      <w:lvlText w:val=""/>
      <w:lvlJc w:val="left"/>
      <w:pPr>
        <w:ind w:left="5151" w:hanging="360"/>
      </w:pPr>
      <w:rPr>
        <w:rFonts w:ascii="Symbol" w:hAnsi="Symbol" w:hint="default"/>
      </w:rPr>
    </w:lvl>
    <w:lvl w:ilvl="7" w:tplc="04060003" w:tentative="1">
      <w:start w:val="1"/>
      <w:numFmt w:val="bullet"/>
      <w:lvlText w:val="o"/>
      <w:lvlJc w:val="left"/>
      <w:pPr>
        <w:ind w:left="5871" w:hanging="360"/>
      </w:pPr>
      <w:rPr>
        <w:rFonts w:ascii="Courier New" w:hAnsi="Courier New" w:cs="Courier New" w:hint="default"/>
      </w:rPr>
    </w:lvl>
    <w:lvl w:ilvl="8" w:tplc="04060005" w:tentative="1">
      <w:start w:val="1"/>
      <w:numFmt w:val="bullet"/>
      <w:lvlText w:val=""/>
      <w:lvlJc w:val="left"/>
      <w:pPr>
        <w:ind w:left="6591" w:hanging="360"/>
      </w:pPr>
      <w:rPr>
        <w:rFonts w:ascii="Wingdings" w:hAnsi="Wingdings" w:hint="default"/>
      </w:rPr>
    </w:lvl>
  </w:abstractNum>
  <w:num w:numId="1" w16cid:durableId="958730398">
    <w:abstractNumId w:val="6"/>
  </w:num>
  <w:num w:numId="2" w16cid:durableId="1371145125">
    <w:abstractNumId w:val="3"/>
  </w:num>
  <w:num w:numId="3" w16cid:durableId="95367255">
    <w:abstractNumId w:val="1"/>
  </w:num>
  <w:num w:numId="4" w16cid:durableId="955137879">
    <w:abstractNumId w:val="5"/>
  </w:num>
  <w:num w:numId="5" w16cid:durableId="345332943">
    <w:abstractNumId w:val="0"/>
  </w:num>
  <w:num w:numId="6" w16cid:durableId="1478760019">
    <w:abstractNumId w:val="2"/>
  </w:num>
  <w:num w:numId="7" w16cid:durableId="2619128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971DC"/>
    <w:rsid w:val="00160C2F"/>
    <w:rsid w:val="002F56B4"/>
    <w:rsid w:val="00303EF7"/>
    <w:rsid w:val="0032049E"/>
    <w:rsid w:val="00334E9E"/>
    <w:rsid w:val="003A2BD3"/>
    <w:rsid w:val="003D779E"/>
    <w:rsid w:val="00411B5A"/>
    <w:rsid w:val="004B28D5"/>
    <w:rsid w:val="005068BB"/>
    <w:rsid w:val="005B54B8"/>
    <w:rsid w:val="00971A87"/>
    <w:rsid w:val="009E6B1F"/>
    <w:rsid w:val="00BC2E86"/>
    <w:rsid w:val="00BE1BC5"/>
    <w:rsid w:val="00DB07EA"/>
    <w:rsid w:val="00E15B1E"/>
    <w:rsid w:val="00E223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6779"/>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54B8"/>
    <w:rPr>
      <w:rFonts w:ascii="Cambria" w:eastAsia="Cambria" w:hAnsi="Cambria" w:cs="Cambria"/>
      <w:b/>
      <w:bCs/>
      <w:sz w:val="18"/>
      <w:szCs w:val="18"/>
      <w:lang w:val="en-US"/>
    </w:rPr>
  </w:style>
  <w:style w:type="paragraph" w:styleId="BodyText">
    <w:name w:val="Body Text"/>
    <w:basedOn w:val="Normal"/>
    <w:link w:val="BodyTextChar"/>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odyTextChar">
    <w:name w:val="Body Text Char"/>
    <w:basedOn w:val="DefaultParagraphFont"/>
    <w:link w:val="BodyText"/>
    <w:uiPriority w:val="1"/>
    <w:rsid w:val="005B54B8"/>
    <w:rPr>
      <w:rFonts w:ascii="FoundryFormSans-Book" w:eastAsia="FoundryFormSans-Book" w:hAnsi="FoundryFormSans-Book" w:cs="FoundryFormSans-Book"/>
      <w:sz w:val="18"/>
      <w:szCs w:val="18"/>
      <w:lang w:val="en-US"/>
    </w:rPr>
  </w:style>
  <w:style w:type="character" w:styleId="CommentReference">
    <w:name w:val="annotation reference"/>
    <w:basedOn w:val="DefaultParagraphFont"/>
    <w:uiPriority w:val="99"/>
    <w:semiHidden/>
    <w:unhideWhenUsed/>
    <w:rsid w:val="005B54B8"/>
    <w:rPr>
      <w:sz w:val="16"/>
      <w:szCs w:val="16"/>
    </w:rPr>
  </w:style>
  <w:style w:type="paragraph" w:styleId="CommentText">
    <w:name w:val="annotation text"/>
    <w:basedOn w:val="Normal"/>
    <w:link w:val="CommentTextChar"/>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CommentTextChar">
    <w:name w:val="Comment Text Char"/>
    <w:basedOn w:val="DefaultParagraphFont"/>
    <w:link w:val="CommentText"/>
    <w:uiPriority w:val="99"/>
    <w:semiHidden/>
    <w:rsid w:val="005B54B8"/>
    <w:rPr>
      <w:rFonts w:ascii="FoundryFormSans-Book" w:eastAsia="FoundryFormSans-Book" w:hAnsi="FoundryFormSans-Book" w:cs="FoundryFormSans-Book"/>
      <w:sz w:val="20"/>
      <w:szCs w:val="20"/>
      <w:lang w:val="en-US"/>
    </w:rPr>
  </w:style>
  <w:style w:type="paragraph" w:styleId="BalloonText">
    <w:name w:val="Balloon Text"/>
    <w:basedOn w:val="Normal"/>
    <w:link w:val="BalloonTextChar"/>
    <w:uiPriority w:val="99"/>
    <w:semiHidden/>
    <w:unhideWhenUsed/>
    <w:rsid w:val="005B5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B8"/>
    <w:rPr>
      <w:rFonts w:ascii="Segoe UI" w:hAnsi="Segoe UI" w:cs="Segoe UI"/>
      <w:sz w:val="18"/>
      <w:szCs w:val="18"/>
    </w:rPr>
  </w:style>
  <w:style w:type="paragraph" w:styleId="Header">
    <w:name w:val="header"/>
    <w:basedOn w:val="Normal"/>
    <w:link w:val="HeaderChar"/>
    <w:uiPriority w:val="99"/>
    <w:unhideWhenUsed/>
    <w:rsid w:val="009E6B1F"/>
    <w:pPr>
      <w:tabs>
        <w:tab w:val="center" w:pos="4819"/>
        <w:tab w:val="right" w:pos="9638"/>
      </w:tabs>
      <w:spacing w:after="0" w:line="240" w:lineRule="auto"/>
    </w:pPr>
  </w:style>
  <w:style w:type="character" w:customStyle="1" w:styleId="HeaderChar">
    <w:name w:val="Header Char"/>
    <w:basedOn w:val="DefaultParagraphFont"/>
    <w:link w:val="Header"/>
    <w:uiPriority w:val="99"/>
    <w:rsid w:val="009E6B1F"/>
  </w:style>
  <w:style w:type="paragraph" w:styleId="Footer">
    <w:name w:val="footer"/>
    <w:basedOn w:val="Normal"/>
    <w:link w:val="FooterChar"/>
    <w:uiPriority w:val="99"/>
    <w:unhideWhenUsed/>
    <w:rsid w:val="009E6B1F"/>
    <w:pPr>
      <w:tabs>
        <w:tab w:val="center" w:pos="4819"/>
        <w:tab w:val="right" w:pos="9638"/>
      </w:tabs>
      <w:spacing w:after="0" w:line="240" w:lineRule="auto"/>
    </w:pPr>
  </w:style>
  <w:style w:type="character" w:customStyle="1" w:styleId="FooterChar">
    <w:name w:val="Footer Char"/>
    <w:basedOn w:val="DefaultParagraphFont"/>
    <w:link w:val="Footer"/>
    <w:uiPriority w:val="99"/>
    <w:rsid w:val="009E6B1F"/>
  </w:style>
  <w:style w:type="paragraph" w:styleId="ListParagraph">
    <w:name w:val="List Paragraph"/>
    <w:basedOn w:val="Normal"/>
    <w:uiPriority w:val="34"/>
    <w:qFormat/>
    <w:rsid w:val="00BC2E8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84821-D0B7-4848-8AE6-7E2BD61C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680</Words>
  <Characters>3880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9</cp:revision>
  <dcterms:created xsi:type="dcterms:W3CDTF">2017-11-19T20:56:00Z</dcterms:created>
  <dcterms:modified xsi:type="dcterms:W3CDTF">2024-02-29T12:53:00Z</dcterms:modified>
</cp:coreProperties>
</file>