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6A80" w14:textId="7D517C36" w:rsidR="006B3074" w:rsidRPr="007C0920" w:rsidRDefault="006B3074" w:rsidP="006B3074">
      <w:pPr>
        <w:spacing w:after="0"/>
        <w:ind w:left="1985"/>
        <w:rPr>
          <w:b/>
          <w:color w:val="000000" w:themeColor="text1"/>
          <w:w w:val="95"/>
          <w:sz w:val="40"/>
          <w:lang w:val="en-US"/>
        </w:rPr>
      </w:pPr>
      <w:proofErr w:type="spellStart"/>
      <w:r w:rsidRPr="007C0920">
        <w:rPr>
          <w:b/>
          <w:color w:val="000000" w:themeColor="text1"/>
          <w:w w:val="95"/>
          <w:sz w:val="40"/>
          <w:lang w:val="en-US"/>
        </w:rPr>
        <w:t>CoCo-obligationer</w:t>
      </w:r>
      <w:proofErr w:type="spellEnd"/>
    </w:p>
    <w:p w14:paraId="4748A16B" w14:textId="77777777" w:rsidR="006B3074" w:rsidRPr="007C0920" w:rsidRDefault="006B3074" w:rsidP="006B3074">
      <w:pPr>
        <w:spacing w:after="0"/>
        <w:ind w:left="1985"/>
        <w:rPr>
          <w:b/>
          <w:color w:val="000000" w:themeColor="text1"/>
          <w:w w:val="95"/>
          <w:sz w:val="40"/>
          <w:lang w:val="en-US"/>
        </w:rPr>
      </w:pPr>
      <w:r w:rsidRPr="007C0920">
        <w:rPr>
          <w:b/>
          <w:color w:val="000000" w:themeColor="text1"/>
          <w:w w:val="95"/>
          <w:sz w:val="40"/>
          <w:lang w:val="en-US"/>
        </w:rPr>
        <w:t>(</w:t>
      </w:r>
      <w:proofErr w:type="spellStart"/>
      <w:r w:rsidRPr="007C0920">
        <w:rPr>
          <w:b/>
          <w:color w:val="000000" w:themeColor="text1"/>
          <w:w w:val="95"/>
          <w:sz w:val="40"/>
          <w:lang w:val="en-US"/>
        </w:rPr>
        <w:t>Betingede</w:t>
      </w:r>
      <w:proofErr w:type="spellEnd"/>
      <w:r w:rsidRPr="007C0920">
        <w:rPr>
          <w:b/>
          <w:color w:val="000000" w:themeColor="text1"/>
          <w:w w:val="95"/>
          <w:sz w:val="40"/>
          <w:lang w:val="en-US"/>
        </w:rPr>
        <w:t xml:space="preserve"> </w:t>
      </w:r>
      <w:proofErr w:type="spellStart"/>
      <w:r w:rsidRPr="007C0920">
        <w:rPr>
          <w:b/>
          <w:color w:val="000000" w:themeColor="text1"/>
          <w:w w:val="95"/>
          <w:sz w:val="40"/>
          <w:lang w:val="en-US"/>
        </w:rPr>
        <w:t>konvertible</w:t>
      </w:r>
      <w:proofErr w:type="spellEnd"/>
      <w:r w:rsidRPr="007C0920">
        <w:rPr>
          <w:b/>
          <w:color w:val="000000" w:themeColor="text1"/>
          <w:w w:val="95"/>
          <w:sz w:val="40"/>
          <w:lang w:val="en-US"/>
        </w:rPr>
        <w:t xml:space="preserve"> </w:t>
      </w:r>
      <w:proofErr w:type="spellStart"/>
      <w:r w:rsidRPr="007C0920">
        <w:rPr>
          <w:b/>
          <w:color w:val="000000" w:themeColor="text1"/>
          <w:w w:val="95"/>
          <w:sz w:val="40"/>
          <w:lang w:val="en-US"/>
        </w:rPr>
        <w:t>obligationer</w:t>
      </w:r>
      <w:proofErr w:type="spellEnd"/>
      <w:r w:rsidRPr="007C0920">
        <w:rPr>
          <w:b/>
          <w:color w:val="000000" w:themeColor="text1"/>
          <w:w w:val="95"/>
          <w:sz w:val="40"/>
          <w:lang w:val="en-US"/>
        </w:rPr>
        <w:t>)</w:t>
      </w:r>
    </w:p>
    <w:p w14:paraId="35362FCA" w14:textId="77777777" w:rsidR="008013BD" w:rsidRPr="00971A87" w:rsidRDefault="008013BD" w:rsidP="008013BD">
      <w:pPr>
        <w:spacing w:line="255" w:lineRule="auto"/>
        <w:ind w:left="1985" w:right="339"/>
        <w:rPr>
          <w:color w:val="808080" w:themeColor="background1" w:themeShade="80"/>
        </w:rPr>
        <w:sectPr w:rsidR="008013BD" w:rsidRPr="00971A87" w:rsidSect="00971A87">
          <w:pgSz w:w="11906" w:h="16838"/>
          <w:pgMar w:top="1304" w:right="964" w:bottom="1304" w:left="964" w:header="709" w:footer="709" w:gutter="0"/>
          <w:cols w:space="708"/>
          <w:docGrid w:linePitch="360"/>
        </w:sectPr>
      </w:pPr>
      <w:r w:rsidRPr="006B3074">
        <w:rPr>
          <w:color w:val="808080" w:themeColor="background1" w:themeShade="80"/>
        </w:rPr>
        <w:t xml:space="preserve">Kapitalbeviser, i det følgende benævnt </w:t>
      </w:r>
      <w:proofErr w:type="spellStart"/>
      <w:r w:rsidRPr="006B3074">
        <w:rPr>
          <w:color w:val="808080" w:themeColor="background1" w:themeShade="80"/>
        </w:rPr>
        <w:t>CoCo</w:t>
      </w:r>
      <w:proofErr w:type="spellEnd"/>
      <w:r w:rsidRPr="006B3074">
        <w:rPr>
          <w:color w:val="808080" w:themeColor="background1" w:themeShade="80"/>
        </w:rPr>
        <w:t>-obligationer, er en kompleks og risikofyldt type af virksomhedsobligationer, hvor du som investor kan risikere</w:t>
      </w:r>
      <w:r>
        <w:rPr>
          <w:color w:val="808080" w:themeColor="background1" w:themeShade="80"/>
        </w:rPr>
        <w:t>,</w:t>
      </w:r>
      <w:r w:rsidRPr="006B3074">
        <w:rPr>
          <w:color w:val="808080" w:themeColor="background1" w:themeShade="80"/>
        </w:rPr>
        <w:t xml:space="preserve"> at hovedstolen </w:t>
      </w:r>
      <w:r>
        <w:rPr>
          <w:color w:val="808080" w:themeColor="background1" w:themeShade="80"/>
        </w:rPr>
        <w:t xml:space="preserve">enten </w:t>
      </w:r>
      <w:r w:rsidRPr="006B3074">
        <w:rPr>
          <w:color w:val="808080" w:themeColor="background1" w:themeShade="80"/>
        </w:rPr>
        <w:t>nedskrives eller konverteres, hvis udstederens solvens bliver udfordret.</w:t>
      </w:r>
      <w:r>
        <w:rPr>
          <w:color w:val="808080" w:themeColor="background1" w:themeShade="80"/>
        </w:rPr>
        <w:t xml:space="preserve"> </w:t>
      </w:r>
    </w:p>
    <w:p w14:paraId="1DA830DD"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 xml:space="preserve">Hvad er </w:t>
      </w:r>
      <w:proofErr w:type="spellStart"/>
      <w:r w:rsidRPr="006B3074">
        <w:rPr>
          <w:rFonts w:asciiTheme="minorHAnsi" w:hAnsiTheme="minorHAnsi"/>
          <w:color w:val="000000" w:themeColor="text1"/>
          <w:lang w:val="da-DK"/>
        </w:rPr>
        <w:t>CoCo</w:t>
      </w:r>
      <w:proofErr w:type="spellEnd"/>
      <w:r w:rsidRPr="006B3074">
        <w:rPr>
          <w:rFonts w:asciiTheme="minorHAnsi" w:hAnsiTheme="minorHAnsi"/>
          <w:color w:val="000000" w:themeColor="text1"/>
          <w:lang w:val="da-DK"/>
        </w:rPr>
        <w:t>-obligationer?</w:t>
      </w:r>
    </w:p>
    <w:p w14:paraId="58675684"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Coco er en forkortelse af det engelske ord </w:t>
      </w:r>
      <w:proofErr w:type="spellStart"/>
      <w:r w:rsidRPr="006B3074">
        <w:rPr>
          <w:rFonts w:asciiTheme="minorHAnsi" w:hAnsiTheme="minorHAnsi"/>
          <w:color w:val="808080" w:themeColor="background1" w:themeShade="80"/>
          <w:lang w:val="da-DK"/>
        </w:rPr>
        <w:t>Contigent</w:t>
      </w:r>
      <w:proofErr w:type="spellEnd"/>
      <w:r w:rsidRPr="006B3074">
        <w:rPr>
          <w:rFonts w:asciiTheme="minorHAnsi" w:hAnsiTheme="minorHAnsi"/>
          <w:color w:val="808080" w:themeColor="background1" w:themeShade="80"/>
          <w:lang w:val="da-DK"/>
        </w:rPr>
        <w:t xml:space="preserve"> </w:t>
      </w:r>
      <w:proofErr w:type="spellStart"/>
      <w:r w:rsidRPr="006B3074">
        <w:rPr>
          <w:rFonts w:asciiTheme="minorHAnsi" w:hAnsiTheme="minorHAnsi"/>
          <w:color w:val="808080" w:themeColor="background1" w:themeShade="80"/>
          <w:lang w:val="da-DK"/>
        </w:rPr>
        <w:t>Convertible</w:t>
      </w:r>
      <w:proofErr w:type="spellEnd"/>
      <w:r w:rsidRPr="006B3074">
        <w:rPr>
          <w:rFonts w:asciiTheme="minorHAnsi" w:hAnsiTheme="minorHAnsi"/>
          <w:color w:val="808080" w:themeColor="background1" w:themeShade="80"/>
          <w:lang w:val="da-DK"/>
        </w:rPr>
        <w:t xml:space="preserve">, som oversat til dansk betyder betinget konvertibel. Der er med andre ord tale om kapital, der kan ændre status (konvertibel), hvis nogle foruddefinerede begivenheder indtræffer. </w:t>
      </w:r>
    </w:p>
    <w:p w14:paraId="0F6EE3B1"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2C21B9B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 bliver udstedt af finansielle institutter – oftest pengeinstitutter.</w:t>
      </w:r>
    </w:p>
    <w:p w14:paraId="24DDA494"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65FF7D1B"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Langt de fleste</w:t>
      </w:r>
      <w:r>
        <w:rPr>
          <w:rFonts w:asciiTheme="minorHAnsi" w:hAnsiTheme="minorHAnsi"/>
          <w:color w:val="808080" w:themeColor="background1" w:themeShade="80"/>
          <w:lang w:val="da-DK"/>
        </w:rPr>
        <w:t xml:space="preserve">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 xml:space="preserve">-obligationer bliver udstedt som efterstillet kapital. Det betyder, at man står lavere i prioritetsstillingen og derved har større risiko for at miste det investerede beløb. Der er derfor en </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get risiko ved at investere i efterstillet kapital sammenlignet med almindelige obligationer.</w:t>
      </w:r>
    </w:p>
    <w:p w14:paraId="156F6F9E"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6F19CF1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Efterstillet kapital, herunder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 xml:space="preserve"> obligationer, kan udstedes i forskel</w:t>
      </w:r>
      <w:r>
        <w:rPr>
          <w:rFonts w:asciiTheme="minorHAnsi" w:hAnsiTheme="minorHAnsi"/>
          <w:color w:val="808080" w:themeColor="background1" w:themeShade="80"/>
          <w:lang w:val="da-DK"/>
        </w:rPr>
        <w:t>l</w:t>
      </w:r>
      <w:r w:rsidRPr="006B3074">
        <w:rPr>
          <w:rFonts w:asciiTheme="minorHAnsi" w:hAnsiTheme="minorHAnsi"/>
          <w:color w:val="808080" w:themeColor="background1" w:themeShade="80"/>
          <w:lang w:val="da-DK"/>
        </w:rPr>
        <w:t>ige varianter (fx hybrid kernekapital eller ansvarlig l</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nekapital). </w:t>
      </w:r>
    </w:p>
    <w:p w14:paraId="4C29DB1A"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 er udstedt for at</w:t>
      </w:r>
      <w:r>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 xml:space="preserve">kunne absorbere tab, hvis udsteder kommer i vanskeligheder. For dig betyder det, at der er risiko for, at du taber hele din investering, hvis udsteder kommer i økonomiske problemer </w:t>
      </w:r>
      <w:r w:rsidRPr="006B3074">
        <w:rPr>
          <w:rFonts w:asciiTheme="minorHAnsi" w:hAnsiTheme="minorHAnsi" w:hint="cs"/>
          <w:color w:val="808080" w:themeColor="background1" w:themeShade="80"/>
          <w:lang w:val="da-DK"/>
        </w:rPr>
        <w:t>–</w:t>
      </w:r>
      <w:r w:rsidRPr="006B3074">
        <w:rPr>
          <w:rFonts w:asciiTheme="minorHAnsi" w:hAnsiTheme="minorHAnsi"/>
          <w:color w:val="808080" w:themeColor="background1" w:themeShade="80"/>
          <w:lang w:val="da-DK"/>
        </w:rPr>
        <w:t xml:space="preserve"> ogs</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selv om udsteder ikke ender med at g</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konkurs.</w:t>
      </w:r>
    </w:p>
    <w:p w14:paraId="7CC74E2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050D5874"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-obligationerne kan dermed v</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re medvirkende til, at udsteder kan drives videre, eller at foranstillede kreditorer f</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r d</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kket deres krav p</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bekostning af ejerne af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w:t>
      </w:r>
    </w:p>
    <w:p w14:paraId="6C071568"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66CD2A9E"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Triggers - Hændelser der udløser nedskrivning af hovedstolen</w:t>
      </w:r>
    </w:p>
    <w:p w14:paraId="67E8E8B5"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De h</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ndelser, der får kapitalen (obligationen) til at ændre karakter, kaldes "triggers".</w:t>
      </w:r>
    </w:p>
    <w:p w14:paraId="6D344483"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093550DA"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Triggers kan både være kvantitativ</w:t>
      </w:r>
      <w:r>
        <w:rPr>
          <w:rFonts w:asciiTheme="minorHAnsi" w:hAnsiTheme="minorHAnsi"/>
          <w:color w:val="808080" w:themeColor="background1" w:themeShade="80"/>
          <w:lang w:val="da-DK"/>
        </w:rPr>
        <w:t>e</w:t>
      </w:r>
      <w:r w:rsidRPr="006B3074">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og kvalitativ</w:t>
      </w:r>
      <w:r>
        <w:rPr>
          <w:rFonts w:asciiTheme="minorHAnsi" w:hAnsiTheme="minorHAnsi"/>
          <w:color w:val="808080" w:themeColor="background1" w:themeShade="80"/>
          <w:lang w:val="da-DK"/>
        </w:rPr>
        <w:t>e</w:t>
      </w:r>
      <w:r w:rsidRPr="006B3074">
        <w:rPr>
          <w:rFonts w:asciiTheme="minorHAnsi" w:hAnsiTheme="minorHAnsi"/>
          <w:color w:val="808080" w:themeColor="background1" w:themeShade="80"/>
          <w:lang w:val="da-DK"/>
        </w:rPr>
        <w:t xml:space="preserve">. </w:t>
      </w:r>
    </w:p>
    <w:p w14:paraId="5D6B6707"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7C5C5B58"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En kvantitativ trigger er en ”mekanisk” trigger, hvilket vil sige et kendt foruddefineret niveau, hvor den tabs</w:t>
      </w:r>
      <w:r>
        <w:rPr>
          <w:rFonts w:asciiTheme="minorHAnsi" w:hAnsiTheme="minorHAnsi"/>
          <w:color w:val="808080" w:themeColor="background1" w:themeShade="80"/>
          <w:lang w:val="da-DK"/>
        </w:rPr>
        <w:t>a</w:t>
      </w:r>
      <w:r w:rsidRPr="006B3074">
        <w:rPr>
          <w:rFonts w:asciiTheme="minorHAnsi" w:hAnsiTheme="minorHAnsi"/>
          <w:color w:val="808080" w:themeColor="background1" w:themeShade="80"/>
          <w:lang w:val="da-DK"/>
        </w:rPr>
        <w:t>bs</w:t>
      </w:r>
      <w:r>
        <w:rPr>
          <w:rFonts w:asciiTheme="minorHAnsi" w:hAnsiTheme="minorHAnsi"/>
          <w:color w:val="808080" w:themeColor="background1" w:themeShade="80"/>
          <w:lang w:val="da-DK"/>
        </w:rPr>
        <w:t>o</w:t>
      </w:r>
      <w:r w:rsidRPr="006B3074">
        <w:rPr>
          <w:rFonts w:asciiTheme="minorHAnsi" w:hAnsiTheme="minorHAnsi"/>
          <w:color w:val="808080" w:themeColor="background1" w:themeShade="80"/>
          <w:lang w:val="da-DK"/>
        </w:rPr>
        <w:t xml:space="preserve">rberende mekanisme udløses. Den kvantitative trigger er som hovedregel relateret til </w:t>
      </w:r>
      <w:r>
        <w:rPr>
          <w:rFonts w:asciiTheme="minorHAnsi" w:hAnsiTheme="minorHAnsi"/>
          <w:color w:val="808080" w:themeColor="background1" w:themeShade="80"/>
          <w:lang w:val="da-DK"/>
        </w:rPr>
        <w:t>udsteders</w:t>
      </w:r>
      <w:r w:rsidRPr="006B3074">
        <w:rPr>
          <w:rFonts w:asciiTheme="minorHAnsi" w:hAnsiTheme="minorHAnsi"/>
          <w:color w:val="808080" w:themeColor="background1" w:themeShade="80"/>
          <w:lang w:val="da-DK"/>
        </w:rPr>
        <w:t xml:space="preserve"> egentlige kernekapital</w:t>
      </w:r>
      <w:r>
        <w:rPr>
          <w:rFonts w:asciiTheme="minorHAnsi" w:hAnsiTheme="minorHAnsi"/>
          <w:color w:val="808080" w:themeColor="background1" w:themeShade="80"/>
          <w:lang w:val="da-DK"/>
        </w:rPr>
        <w:t>-</w:t>
      </w:r>
      <w:r w:rsidRPr="006B3074">
        <w:rPr>
          <w:rFonts w:asciiTheme="minorHAnsi" w:hAnsiTheme="minorHAnsi"/>
          <w:color w:val="808080" w:themeColor="background1" w:themeShade="80"/>
          <w:lang w:val="da-DK"/>
        </w:rPr>
        <w:t xml:space="preserve">procent (CET1 ratio). Det er et krav for at kapitalen kan bruges til at dække </w:t>
      </w:r>
      <w:r>
        <w:rPr>
          <w:rFonts w:asciiTheme="minorHAnsi" w:hAnsiTheme="minorHAnsi"/>
          <w:color w:val="808080" w:themeColor="background1" w:themeShade="80"/>
          <w:lang w:val="da-DK"/>
        </w:rPr>
        <w:t xml:space="preserve">udsteders </w:t>
      </w:r>
      <w:r w:rsidRPr="006B3074">
        <w:rPr>
          <w:rFonts w:asciiTheme="minorHAnsi" w:hAnsiTheme="minorHAnsi"/>
          <w:color w:val="808080" w:themeColor="background1" w:themeShade="80"/>
          <w:lang w:val="da-DK"/>
        </w:rPr>
        <w:t>minimumssol</w:t>
      </w:r>
      <w:r>
        <w:rPr>
          <w:rFonts w:asciiTheme="minorHAnsi" w:hAnsiTheme="minorHAnsi"/>
          <w:color w:val="808080" w:themeColor="background1" w:themeShade="80"/>
          <w:lang w:val="da-DK"/>
        </w:rPr>
        <w:t>v</w:t>
      </w:r>
      <w:r w:rsidRPr="006B3074">
        <w:rPr>
          <w:rFonts w:asciiTheme="minorHAnsi" w:hAnsiTheme="minorHAnsi"/>
          <w:color w:val="808080" w:themeColor="background1" w:themeShade="80"/>
          <w:lang w:val="da-DK"/>
        </w:rPr>
        <w:t>enskrav, at triggeren ligger på en egentlig kernekapitalprocent på minimum 5.125%</w:t>
      </w:r>
    </w:p>
    <w:p w14:paraId="7E293D1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0F18D05B"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Jo højere triggeren er, jo større er sandsynligheden for, at triggeren rammes, hvorfor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 xml:space="preserve">-obligationer med en høj trigger (typisk 7 % eller mere) alt-andet-lige er mere risikable end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 med en lav trigger (5,</w:t>
      </w:r>
      <w:r>
        <w:rPr>
          <w:rFonts w:asciiTheme="minorHAnsi" w:hAnsiTheme="minorHAnsi"/>
          <w:color w:val="808080" w:themeColor="background1" w:themeShade="80"/>
          <w:lang w:val="da-DK"/>
        </w:rPr>
        <w:t>1</w:t>
      </w:r>
      <w:r w:rsidRPr="006B3074">
        <w:rPr>
          <w:rFonts w:asciiTheme="minorHAnsi" w:hAnsiTheme="minorHAnsi"/>
          <w:color w:val="808080" w:themeColor="background1" w:themeShade="80"/>
          <w:lang w:val="da-DK"/>
        </w:rPr>
        <w:t xml:space="preserve">25%) </w:t>
      </w:r>
    </w:p>
    <w:p w14:paraId="45FDED6D"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398A5B8B"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En kvalitativ trigger er en ”subjektiv” trigger. </w:t>
      </w:r>
      <w:proofErr w:type="gramStart"/>
      <w:r w:rsidRPr="006B3074">
        <w:rPr>
          <w:rFonts w:asciiTheme="minorHAnsi" w:hAnsiTheme="minorHAnsi"/>
          <w:color w:val="808080" w:themeColor="background1" w:themeShade="80"/>
          <w:lang w:val="da-DK"/>
        </w:rPr>
        <w:t>Såfremt</w:t>
      </w:r>
      <w:proofErr w:type="gramEnd"/>
      <w:r w:rsidRPr="006B3074">
        <w:rPr>
          <w:rFonts w:asciiTheme="minorHAnsi" w:hAnsiTheme="minorHAnsi"/>
          <w:color w:val="808080" w:themeColor="background1" w:themeShade="80"/>
          <w:lang w:val="da-DK"/>
        </w:rPr>
        <w:t xml:space="preserve"> de finansielle myndigheder vurderer det sandsynligt, at udsteder ikke længere er levedygtig,</w:t>
      </w:r>
      <w:r>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men kan overleve ved</w:t>
      </w:r>
      <w:r>
        <w:rPr>
          <w:rFonts w:asciiTheme="minorHAnsi" w:hAnsiTheme="minorHAnsi"/>
          <w:color w:val="808080" w:themeColor="background1" w:themeShade="80"/>
          <w:lang w:val="da-DK"/>
        </w:rPr>
        <w:t xml:space="preserve"> effektuering af den tabsabsorberende mekanisme</w:t>
      </w:r>
      <w:r w:rsidRPr="006B3074">
        <w:rPr>
          <w:rFonts w:asciiTheme="minorHAnsi" w:hAnsiTheme="minorHAnsi"/>
          <w:color w:val="808080" w:themeColor="background1" w:themeShade="80"/>
          <w:lang w:val="da-DK"/>
        </w:rPr>
        <w:t xml:space="preserve">, kan de kræve triggeren på obligationen udløst. </w:t>
      </w:r>
    </w:p>
    <w:p w14:paraId="0BE6C16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2E9596EF"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 xml:space="preserve">Tabsabsorberende mekanismer </w:t>
      </w:r>
    </w:p>
    <w:p w14:paraId="3BCC097E" w14:textId="77777777" w:rsidR="008013BD"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Hvis triggeren udløses, vil den tabsabsorberende mekanisme enten være en konvertering af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 xml:space="preserve">-obligationen til aktier eller nedskrivning af hovedstolen. Nedskrivningen kan være midlertidig eller permanent. </w:t>
      </w:r>
    </w:p>
    <w:p w14:paraId="1D95093B"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798FE9D5"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Hvilken tabsabsorberende mekanisme, der gør sig gældende i det enkelte tilfælde, fremgår af lånedokumentationen for den enkelte obligation.</w:t>
      </w:r>
    </w:p>
    <w:p w14:paraId="210A829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2B3FEDFC"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Er der aftalt konvertering til aktier vil obligationen blive konverteret til </w:t>
      </w:r>
      <w:r w:rsidRPr="006B3074">
        <w:rPr>
          <w:rFonts w:asciiTheme="minorHAnsi" w:hAnsiTheme="minorHAnsi"/>
          <w:color w:val="808080" w:themeColor="background1" w:themeShade="80"/>
          <w:lang w:val="da-DK"/>
        </w:rPr>
        <w:t xml:space="preserve">egenkapital via udstedelse af nye aktier. Ejerne af obligationen vil i dette tilfælde </w:t>
      </w:r>
      <w:proofErr w:type="gramStart"/>
      <w:r w:rsidRPr="006B3074">
        <w:rPr>
          <w:rFonts w:asciiTheme="minorHAnsi" w:hAnsiTheme="minorHAnsi"/>
          <w:color w:val="808080" w:themeColor="background1" w:themeShade="80"/>
          <w:lang w:val="da-DK"/>
        </w:rPr>
        <w:t>ende op me</w:t>
      </w:r>
      <w:r>
        <w:rPr>
          <w:rFonts w:asciiTheme="minorHAnsi" w:hAnsiTheme="minorHAnsi"/>
          <w:color w:val="808080" w:themeColor="background1" w:themeShade="80"/>
          <w:lang w:val="da-DK"/>
        </w:rPr>
        <w:t>d</w:t>
      </w:r>
      <w:proofErr w:type="gramEnd"/>
      <w:r>
        <w:rPr>
          <w:rFonts w:asciiTheme="minorHAnsi" w:hAnsiTheme="minorHAnsi"/>
          <w:color w:val="808080" w:themeColor="background1" w:themeShade="80"/>
          <w:lang w:val="da-DK"/>
        </w:rPr>
        <w:t xml:space="preserve"> at blive aktionærer</w:t>
      </w:r>
      <w:r w:rsidRPr="006B3074">
        <w:rPr>
          <w:rFonts w:asciiTheme="minorHAnsi" w:hAnsiTheme="minorHAnsi"/>
          <w:color w:val="808080" w:themeColor="background1" w:themeShade="80"/>
          <w:lang w:val="da-DK"/>
        </w:rPr>
        <w:t xml:space="preserve">. Vilkårene for konverteringen vil være angivet i dokumentationen for obligationen. </w:t>
      </w:r>
    </w:p>
    <w:p w14:paraId="4E99B94F"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7A66E097"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Er der aftalt nedskrivning af hovedstol findes der to varianter:</w:t>
      </w:r>
    </w:p>
    <w:p w14:paraId="57C2F957"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6DE45B70"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Ved en midlertidig nedskrivning nedskrives kapitalen (obligationens hovedstol) helt eller delvist, </w:t>
      </w:r>
      <w:proofErr w:type="gramStart"/>
      <w:r w:rsidRPr="006B3074">
        <w:rPr>
          <w:rFonts w:asciiTheme="minorHAnsi" w:hAnsiTheme="minorHAnsi"/>
          <w:color w:val="808080" w:themeColor="background1" w:themeShade="80"/>
          <w:lang w:val="da-DK"/>
        </w:rPr>
        <w:t>Såfremt</w:t>
      </w:r>
      <w:proofErr w:type="gramEnd"/>
      <w:r w:rsidRPr="006B3074">
        <w:rPr>
          <w:rFonts w:asciiTheme="minorHAnsi" w:hAnsiTheme="minorHAnsi"/>
          <w:color w:val="808080" w:themeColor="background1" w:themeShade="80"/>
          <w:lang w:val="da-DK"/>
        </w:rPr>
        <w:t xml:space="preserve"> udsteder igen efter en periode kommer på fode, er der mulighed for at hovedstolen kan blive genopskrevet. </w:t>
      </w:r>
    </w:p>
    <w:p w14:paraId="6C94D9E9"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2578B429"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Ved en permanent nedskrivning nedskrives obligationens hovedstol helt eller delvist. I dette tilfælde er det nedskrevne beløb tabt for investor, da der ikke er mulighed for senere genopskrivning. </w:t>
      </w:r>
    </w:p>
    <w:p w14:paraId="22A44DC1"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1447BC2F"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 xml:space="preserve">Afkast </w:t>
      </w:r>
    </w:p>
    <w:p w14:paraId="1F0B0D1A"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Som udgangspunkt g</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 xml:space="preserve">lder de samme grundprincipper for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 som for andre obligationer med hensyn til renteafkast, kursgevinster mv. P</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grund af den h</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je risiko er der mulighed for at opn</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et h</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jere afkast, end det er tilf</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ldet p</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traditionelle obligationer</w:t>
      </w:r>
      <w:r>
        <w:rPr>
          <w:rFonts w:asciiTheme="minorHAnsi" w:hAnsiTheme="minorHAnsi"/>
          <w:color w:val="808080" w:themeColor="background1" w:themeShade="80"/>
          <w:lang w:val="da-DK"/>
        </w:rPr>
        <w:t xml:space="preserve"> som fx statsobligationer</w:t>
      </w:r>
      <w:r w:rsidRPr="006B3074">
        <w:rPr>
          <w:rFonts w:asciiTheme="minorHAnsi" w:hAnsiTheme="minorHAnsi"/>
          <w:color w:val="808080" w:themeColor="background1" w:themeShade="80"/>
          <w:lang w:val="da-DK"/>
        </w:rPr>
        <w:t>. Jo h</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jere risiko der er for at triggeren bliver udløst, jo st</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rre merafkast</w:t>
      </w:r>
      <w:r>
        <w:rPr>
          <w:rFonts w:asciiTheme="minorHAnsi" w:hAnsiTheme="minorHAnsi"/>
          <w:color w:val="808080" w:themeColor="background1" w:themeShade="80"/>
          <w:lang w:val="da-DK"/>
        </w:rPr>
        <w:t xml:space="preserve"> vil obligationerne handle med</w:t>
      </w:r>
    </w:p>
    <w:p w14:paraId="06025080"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21D6FEDE"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Kuponafvigelse</w:t>
      </w:r>
    </w:p>
    <w:p w14:paraId="4FFC3F3F"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Som et led i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 xml:space="preserve"> obligationernes tabsabsorbering kan de ligeledes få udskudt eller aflyst </w:t>
      </w:r>
      <w:r>
        <w:rPr>
          <w:rFonts w:asciiTheme="minorHAnsi" w:hAnsiTheme="minorHAnsi"/>
          <w:color w:val="808080" w:themeColor="background1" w:themeShade="80"/>
          <w:lang w:val="da-DK"/>
        </w:rPr>
        <w:t>rente</w:t>
      </w:r>
      <w:r w:rsidRPr="006B3074">
        <w:rPr>
          <w:rFonts w:asciiTheme="minorHAnsi" w:hAnsiTheme="minorHAnsi"/>
          <w:color w:val="808080" w:themeColor="background1" w:themeShade="80"/>
          <w:lang w:val="da-DK"/>
        </w:rPr>
        <w:t xml:space="preserve">kuponbetalingerne. </w:t>
      </w:r>
      <w:r>
        <w:rPr>
          <w:rFonts w:asciiTheme="minorHAnsi" w:hAnsiTheme="minorHAnsi"/>
          <w:color w:val="808080" w:themeColor="background1" w:themeShade="80"/>
          <w:lang w:val="da-DK"/>
        </w:rPr>
        <w:t xml:space="preserve">Der kan være tale om både frivillig kuponfravigelse, hvor udsteder selv vælger ikke at udbetale rentekupon eller tvungen kuponfravigelse, hvor udsteders nøgletal og indtjening er så dårlige, at der ikke må betales </w:t>
      </w:r>
      <w:r>
        <w:rPr>
          <w:rFonts w:asciiTheme="minorHAnsi" w:hAnsiTheme="minorHAnsi"/>
          <w:color w:val="808080" w:themeColor="background1" w:themeShade="80"/>
          <w:lang w:val="da-DK"/>
        </w:rPr>
        <w:lastRenderedPageBreak/>
        <w:t xml:space="preserve">rentekupon. </w:t>
      </w:r>
      <w:r w:rsidRPr="006B3074">
        <w:rPr>
          <w:rFonts w:asciiTheme="minorHAnsi" w:hAnsiTheme="minorHAnsi"/>
          <w:color w:val="808080" w:themeColor="background1" w:themeShade="80"/>
          <w:lang w:val="da-DK"/>
        </w:rPr>
        <w:t xml:space="preserve">Ikke betalte </w:t>
      </w:r>
      <w:r>
        <w:rPr>
          <w:rFonts w:asciiTheme="minorHAnsi" w:hAnsiTheme="minorHAnsi"/>
          <w:color w:val="808080" w:themeColor="background1" w:themeShade="80"/>
          <w:lang w:val="da-DK"/>
        </w:rPr>
        <w:t>rente</w:t>
      </w:r>
      <w:r w:rsidRPr="006B3074">
        <w:rPr>
          <w:rFonts w:asciiTheme="minorHAnsi" w:hAnsiTheme="minorHAnsi"/>
          <w:color w:val="808080" w:themeColor="background1" w:themeShade="80"/>
          <w:lang w:val="da-DK"/>
        </w:rPr>
        <w:t>kuponer bliver ikke anset som misligholdelse.</w:t>
      </w:r>
    </w:p>
    <w:p w14:paraId="1B13415C"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4CBF285C"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Løbetid</w:t>
      </w:r>
    </w:p>
    <w:p w14:paraId="5C7C2544"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De fleste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 har ikke en endelig udløbsdato. De er dermed evigt</w:t>
      </w:r>
      <w:r>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 xml:space="preserve">løbende. </w:t>
      </w:r>
      <w:r>
        <w:rPr>
          <w:rFonts w:asciiTheme="minorHAnsi" w:hAnsiTheme="minorHAnsi"/>
          <w:color w:val="808080" w:themeColor="background1" w:themeShade="80"/>
          <w:lang w:val="da-DK"/>
        </w:rPr>
        <w:t>Udsteder</w:t>
      </w:r>
      <w:r w:rsidRPr="006B3074">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vil </w:t>
      </w:r>
      <w:r w:rsidRPr="006B3074">
        <w:rPr>
          <w:rFonts w:asciiTheme="minorHAnsi" w:hAnsiTheme="minorHAnsi"/>
          <w:color w:val="808080" w:themeColor="background1" w:themeShade="80"/>
          <w:lang w:val="da-DK"/>
        </w:rPr>
        <w:t xml:space="preserve">have en ret </w:t>
      </w:r>
      <w:r>
        <w:rPr>
          <w:rFonts w:asciiTheme="minorHAnsi" w:hAnsiTheme="minorHAnsi"/>
          <w:color w:val="808080" w:themeColor="background1" w:themeShade="80"/>
          <w:lang w:val="da-DK"/>
        </w:rPr>
        <w:t xml:space="preserve">til </w:t>
      </w:r>
      <w:r w:rsidRPr="006B3074">
        <w:rPr>
          <w:rFonts w:asciiTheme="minorHAnsi" w:hAnsiTheme="minorHAnsi"/>
          <w:color w:val="808080" w:themeColor="background1" w:themeShade="80"/>
          <w:lang w:val="da-DK"/>
        </w:rPr>
        <w:t xml:space="preserve">men ikke en pligt til at </w:t>
      </w:r>
      <w:proofErr w:type="spellStart"/>
      <w:r w:rsidRPr="006B3074">
        <w:rPr>
          <w:rFonts w:asciiTheme="minorHAnsi" w:hAnsiTheme="minorHAnsi"/>
          <w:color w:val="808080" w:themeColor="background1" w:themeShade="80"/>
          <w:lang w:val="da-DK"/>
        </w:rPr>
        <w:t>førtidsindfri</w:t>
      </w:r>
      <w:proofErr w:type="spellEnd"/>
      <w:r w:rsidRPr="006B3074">
        <w:rPr>
          <w:rFonts w:asciiTheme="minorHAnsi" w:hAnsiTheme="minorHAnsi"/>
          <w:color w:val="808080" w:themeColor="background1" w:themeShade="80"/>
          <w:lang w:val="da-DK"/>
        </w:rPr>
        <w:t xml:space="preserve"> lånet på en fremtidig dato.</w:t>
      </w:r>
      <w:r>
        <w:rPr>
          <w:rFonts w:asciiTheme="minorHAnsi" w:hAnsiTheme="minorHAnsi"/>
          <w:color w:val="808080" w:themeColor="background1" w:themeShade="80"/>
          <w:lang w:val="da-DK"/>
        </w:rPr>
        <w:t xml:space="preserve"> Indfrielse kan kræve Finanstilsynets godkendelse.</w:t>
      </w:r>
    </w:p>
    <w:p w14:paraId="21AE855C"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3F3EE43A"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Der kan være andre klausuler i lånebetingelserne, som kan give udsteder en ret til at </w:t>
      </w:r>
      <w:proofErr w:type="spellStart"/>
      <w:r w:rsidRPr="006B3074">
        <w:rPr>
          <w:rFonts w:asciiTheme="minorHAnsi" w:hAnsiTheme="minorHAnsi"/>
          <w:color w:val="808080" w:themeColor="background1" w:themeShade="80"/>
          <w:lang w:val="da-DK"/>
        </w:rPr>
        <w:t>førtidsindfri</w:t>
      </w:r>
      <w:proofErr w:type="spellEnd"/>
      <w:r w:rsidRPr="006B3074">
        <w:rPr>
          <w:rFonts w:asciiTheme="minorHAnsi" w:hAnsiTheme="minorHAnsi"/>
          <w:color w:val="808080" w:themeColor="background1" w:themeShade="80"/>
          <w:lang w:val="da-DK"/>
        </w:rPr>
        <w:t xml:space="preserve"> </w:t>
      </w:r>
      <w:proofErr w:type="spellStart"/>
      <w:r w:rsidRPr="006B3074">
        <w:rPr>
          <w:rFonts w:asciiTheme="minorHAnsi" w:hAnsiTheme="minorHAnsi"/>
          <w:color w:val="808080" w:themeColor="background1" w:themeShade="80"/>
          <w:lang w:val="da-DK"/>
        </w:rPr>
        <w:t>CoCo</w:t>
      </w:r>
      <w:proofErr w:type="spellEnd"/>
      <w:r w:rsidRPr="006B3074">
        <w:rPr>
          <w:rFonts w:asciiTheme="minorHAnsi" w:hAnsiTheme="minorHAnsi"/>
          <w:color w:val="808080" w:themeColor="background1" w:themeShade="80"/>
          <w:lang w:val="da-DK"/>
        </w:rPr>
        <w:t>-obligationerne under visse betingelser.</w:t>
      </w:r>
    </w:p>
    <w:p w14:paraId="6AC65BAF"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56B847E0"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Kreditvurdering og rating</w:t>
      </w:r>
    </w:p>
    <w:p w14:paraId="76AA4D97"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Kvaliteten af en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 det vil sige udsteders evne til at betale lånet tilbage, vurderes blandt andet ved at anvende en karakterskala (rating), der går fra AAA til D, hvor AAA er den højeste rating. Det er typisk statsobligationer udstedt af OECD-lande, der ligger i den øverste kategori (AAA til AA-). Karakteren D gives til virksomheder eller lande, som enten er gået i </w:t>
      </w:r>
      <w:r w:rsidRPr="00386440">
        <w:rPr>
          <w:rFonts w:asciiTheme="minorHAnsi" w:hAnsiTheme="minorHAnsi"/>
          <w:color w:val="808080" w:themeColor="background1" w:themeShade="80"/>
          <w:lang w:val="da-DK"/>
        </w:rPr>
        <w:t>rekonstruktion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eller </w:t>
      </w:r>
      <w:r>
        <w:rPr>
          <w:rFonts w:asciiTheme="minorHAnsi" w:hAnsiTheme="minorHAnsi"/>
          <w:color w:val="808080" w:themeColor="background1" w:themeShade="80"/>
          <w:lang w:val="da-DK"/>
        </w:rPr>
        <w:t xml:space="preserve">opfylder deres </w:t>
      </w:r>
      <w:r w:rsidRPr="00AD6607">
        <w:rPr>
          <w:rFonts w:asciiTheme="minorHAnsi" w:hAnsiTheme="minorHAnsi"/>
          <w:color w:val="808080" w:themeColor="background1" w:themeShade="80"/>
          <w:lang w:val="da-DK"/>
        </w:rPr>
        <w:t xml:space="preserve">betalingsforpligtelser i forhold til obligationen. </w:t>
      </w:r>
      <w:r>
        <w:rPr>
          <w:rFonts w:asciiTheme="minorHAnsi" w:hAnsiTheme="minorHAnsi"/>
          <w:color w:val="808080" w:themeColor="background1" w:themeShade="80"/>
          <w:lang w:val="da-DK"/>
        </w:rPr>
        <w:t xml:space="preserve">Alt andet lige er der en højere risiko jo lavere rating en obligation har. </w:t>
      </w:r>
    </w:p>
    <w:p w14:paraId="7E6F854D"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p>
    <w:p w14:paraId="1759C719"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Virksomhedsobligationer med karakteren A til BBB kaldes også for </w:t>
      </w: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 xml:space="preserve">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obligationer.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 obligationer er kendetegnet ved, at de som udgangspunkt ikke ”svinger fuldstændig i takt” med hverken</w:t>
      </w:r>
    </w:p>
    <w:p w14:paraId="6A37C1C0" w14:textId="77777777" w:rsidR="008013BD" w:rsidRPr="00AD6607" w:rsidRDefault="008013BD" w:rsidP="008013BD">
      <w:pPr>
        <w:pStyle w:val="BodyText"/>
        <w:spacing w:line="244" w:lineRule="auto"/>
        <w:ind w:right="-95"/>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eller</w:t>
      </w:r>
      <w:r w:rsidRPr="00AD6607">
        <w:rPr>
          <w:rFonts w:asciiTheme="minorHAnsi" w:hAnsiTheme="minorHAnsi"/>
          <w:color w:val="808080" w:themeColor="background1" w:themeShade="80"/>
          <w:lang w:val="da-DK"/>
        </w:rPr>
        <w:t xml:space="preserve"> aktier.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 xml:space="preserve">rade obligationer placerer sig typisk mellem obligationer og aktier for så vidt angår risiko og </w:t>
      </w:r>
      <w:r>
        <w:rPr>
          <w:rFonts w:asciiTheme="minorHAnsi" w:hAnsiTheme="minorHAnsi"/>
          <w:color w:val="808080" w:themeColor="background1" w:themeShade="80"/>
          <w:lang w:val="da-DK"/>
        </w:rPr>
        <w:t>a</w:t>
      </w:r>
      <w:r w:rsidRPr="00AD6607">
        <w:rPr>
          <w:rFonts w:asciiTheme="minorHAnsi" w:hAnsiTheme="minorHAnsi"/>
          <w:color w:val="808080" w:themeColor="background1" w:themeShade="80"/>
          <w:lang w:val="da-DK"/>
        </w:rPr>
        <w:t>fkastmuligheder.</w:t>
      </w:r>
    </w:p>
    <w:p w14:paraId="7810E160"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p>
    <w:p w14:paraId="3AA31F07"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med karakteren BB til C, kaldes også højrenteobligationer (high </w:t>
      </w:r>
      <w:proofErr w:type="spellStart"/>
      <w:r w:rsidRPr="00AD6607">
        <w:rPr>
          <w:rFonts w:asciiTheme="minorHAnsi" w:hAnsiTheme="minorHAnsi"/>
          <w:color w:val="808080" w:themeColor="background1" w:themeShade="80"/>
          <w:lang w:val="da-DK"/>
        </w:rPr>
        <w:t>yield</w:t>
      </w:r>
      <w:proofErr w:type="spellEnd"/>
      <w:r w:rsidRPr="00AD6607">
        <w:rPr>
          <w:rFonts w:asciiTheme="minorHAnsi" w:hAnsiTheme="minorHAnsi"/>
          <w:color w:val="808080" w:themeColor="background1" w:themeShade="80"/>
          <w:lang w:val="da-DK"/>
        </w:rPr>
        <w:t>) eller ”</w:t>
      </w:r>
      <w:proofErr w:type="spellStart"/>
      <w:r w:rsidRPr="00AD6607">
        <w:rPr>
          <w:rFonts w:asciiTheme="minorHAnsi" w:hAnsiTheme="minorHAnsi"/>
          <w:color w:val="808080" w:themeColor="background1" w:themeShade="80"/>
          <w:lang w:val="da-DK"/>
        </w:rPr>
        <w:t>speculative</w:t>
      </w:r>
      <w:proofErr w:type="spellEnd"/>
      <w:r w:rsidRPr="00AD6607">
        <w:rPr>
          <w:rFonts w:asciiTheme="minorHAnsi" w:hAnsiTheme="minorHAnsi"/>
          <w:color w:val="808080" w:themeColor="background1" w:themeShade="80"/>
          <w:lang w:val="da-DK"/>
        </w:rPr>
        <w:t xml:space="preserve"> grade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obligationer”. De ”ligner” i højere grad aktier for så vidt angår risiko og afkastmuligheder.</w:t>
      </w:r>
      <w:r>
        <w:rPr>
          <w:rFonts w:asciiTheme="minorHAnsi" w:hAnsiTheme="minorHAnsi"/>
          <w:color w:val="808080" w:themeColor="background1" w:themeShade="80"/>
          <w:lang w:val="da-DK"/>
        </w:rPr>
        <w:t xml:space="preserve"> Der er dog meget stor forskel på de bedst ratede højrenteobligationer og de dårligst ratede.</w:t>
      </w:r>
    </w:p>
    <w:p w14:paraId="1EEA32D3"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p>
    <w:p w14:paraId="19AC95FB" w14:textId="77777777" w:rsidR="008013BD" w:rsidRDefault="008013BD" w:rsidP="008013B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Du skal være opmærksom på, at ikke alle obligationer har en rating</w:t>
      </w:r>
      <w:r>
        <w:rPr>
          <w:rFonts w:asciiTheme="minorHAnsi" w:hAnsiTheme="minorHAnsi"/>
          <w:color w:val="808080" w:themeColor="background1" w:themeShade="80"/>
          <w:lang w:val="da-DK"/>
        </w:rPr>
        <w:t xml:space="preserve">, da det ikke er et krav. </w:t>
      </w:r>
      <w:r w:rsidRPr="00AD6607">
        <w:rPr>
          <w:rFonts w:asciiTheme="minorHAnsi" w:hAnsiTheme="minorHAnsi"/>
          <w:color w:val="808080" w:themeColor="background1" w:themeShade="80"/>
          <w:lang w:val="da-DK"/>
        </w:rPr>
        <w:t xml:space="preserve">En manglende rating har ikke indflydelse på kvaliteten af obligationen. </w:t>
      </w:r>
    </w:p>
    <w:p w14:paraId="25238A98"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0D02830C"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proofErr w:type="gramStart"/>
      <w:r w:rsidRPr="00AD6607">
        <w:rPr>
          <w:rFonts w:asciiTheme="minorHAnsi" w:hAnsiTheme="minorHAnsi"/>
          <w:color w:val="808080" w:themeColor="background1" w:themeShade="80"/>
          <w:lang w:val="da-DK"/>
        </w:rPr>
        <w:t>Såfremt</w:t>
      </w:r>
      <w:proofErr w:type="gramEnd"/>
      <w:r w:rsidRPr="00AD6607">
        <w:rPr>
          <w:rFonts w:asciiTheme="minorHAnsi" w:hAnsiTheme="minorHAnsi"/>
          <w:color w:val="808080" w:themeColor="background1" w:themeShade="80"/>
          <w:lang w:val="da-DK"/>
        </w:rPr>
        <w:t xml:space="preserve"> der er en rating </w:t>
      </w:r>
      <w:r>
        <w:rPr>
          <w:rFonts w:asciiTheme="minorHAnsi" w:hAnsiTheme="minorHAnsi"/>
          <w:color w:val="808080" w:themeColor="background1" w:themeShade="80"/>
          <w:lang w:val="da-DK"/>
        </w:rPr>
        <w:t xml:space="preserve">på en given obligation, </w:t>
      </w:r>
      <w:r w:rsidRPr="00AD6607">
        <w:rPr>
          <w:rFonts w:asciiTheme="minorHAnsi" w:hAnsiTheme="minorHAnsi"/>
          <w:color w:val="808080" w:themeColor="background1" w:themeShade="80"/>
          <w:lang w:val="da-DK"/>
        </w:rPr>
        <w:t xml:space="preserve">kan denne ikke stå alene ved vurderingen af investeringen. </w:t>
      </w:r>
    </w:p>
    <w:p w14:paraId="346A1410"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64908632" w14:textId="77777777" w:rsidR="008013BD" w:rsidRPr="00AD6607" w:rsidRDefault="008013BD" w:rsidP="008013BD">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Inden du investerer i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bør du orientere dig om individuelle forhold og betingelser for obligationen, herunder eventuelle klausuler, virksomhedens mulighed for </w:t>
      </w:r>
      <w:proofErr w:type="spellStart"/>
      <w:r w:rsidRPr="00AD6607">
        <w:rPr>
          <w:rFonts w:asciiTheme="minorHAnsi" w:hAnsiTheme="minorHAnsi"/>
          <w:color w:val="808080" w:themeColor="background1" w:themeShade="80"/>
          <w:lang w:val="da-DK"/>
        </w:rPr>
        <w:t>førtidsindfrielse</w:t>
      </w:r>
      <w:proofErr w:type="spellEnd"/>
      <w:r w:rsidRPr="00AD6607">
        <w:rPr>
          <w:rFonts w:asciiTheme="minorHAnsi" w:hAnsiTheme="minorHAnsi"/>
          <w:color w:val="808080" w:themeColor="background1" w:themeShade="80"/>
          <w:lang w:val="da-DK"/>
        </w:rPr>
        <w:t xml:space="preserve"> mv. </w:t>
      </w:r>
      <w:r>
        <w:rPr>
          <w:rFonts w:asciiTheme="minorHAnsi" w:hAnsiTheme="minorHAnsi"/>
          <w:color w:val="808080" w:themeColor="background1" w:themeShade="80"/>
          <w:lang w:val="da-DK"/>
        </w:rPr>
        <w:t xml:space="preserve">samt regler/lovgivning som udstedelsen er underlagt. </w:t>
      </w:r>
      <w:r w:rsidRPr="00AD6607">
        <w:rPr>
          <w:rFonts w:asciiTheme="minorHAnsi" w:hAnsiTheme="minorHAnsi"/>
          <w:color w:val="808080" w:themeColor="background1" w:themeShade="80"/>
          <w:lang w:val="da-DK"/>
        </w:rPr>
        <w:t>Oplysningerne findes i</w:t>
      </w:r>
      <w:r>
        <w:rPr>
          <w:rFonts w:asciiTheme="minorHAnsi" w:hAnsiTheme="minorHAnsi"/>
          <w:color w:val="808080" w:themeColor="background1" w:themeShade="80"/>
          <w:lang w:val="da-DK"/>
        </w:rPr>
        <w:t xml:space="preserve"> vilkår, prospekt eller anden investorinformation.</w:t>
      </w:r>
    </w:p>
    <w:p w14:paraId="17792AF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1E714648"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Hvad er risikoen?</w:t>
      </w:r>
    </w:p>
    <w:p w14:paraId="7AA1ECC1" w14:textId="77777777" w:rsidR="008013BD" w:rsidRDefault="008013BD" w:rsidP="008013BD">
      <w:pPr>
        <w:pStyle w:val="BodyText"/>
        <w:spacing w:line="244" w:lineRule="auto"/>
        <w:rPr>
          <w:rFonts w:asciiTheme="minorHAnsi" w:hAnsiTheme="minorHAnsi"/>
          <w:color w:val="808080" w:themeColor="background1" w:themeShade="80"/>
          <w:lang w:val="da-DK"/>
        </w:rPr>
      </w:pPr>
      <w:r w:rsidRPr="00770DB0">
        <w:rPr>
          <w:rFonts w:asciiTheme="minorHAnsi" w:hAnsiTheme="minorHAnsi"/>
          <w:color w:val="808080" w:themeColor="background1" w:themeShade="80"/>
          <w:lang w:val="da-DK"/>
        </w:rPr>
        <w:t xml:space="preserve">Mange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obligationer</w:t>
      </w:r>
      <w:r w:rsidRPr="00770DB0">
        <w:rPr>
          <w:rFonts w:asciiTheme="minorHAnsi" w:hAnsiTheme="minorHAnsi"/>
          <w:color w:val="808080" w:themeColor="background1" w:themeShade="80"/>
          <w:lang w:val="da-DK"/>
        </w:rPr>
        <w:t xml:space="preserve"> udstedes henvendt til professionelle investorer</w:t>
      </w:r>
      <w:r>
        <w:rPr>
          <w:rFonts w:asciiTheme="minorHAnsi" w:hAnsiTheme="minorHAnsi"/>
          <w:color w:val="808080" w:themeColor="background1" w:themeShade="80"/>
          <w:lang w:val="da-DK"/>
        </w:rPr>
        <w:t>.</w:t>
      </w:r>
    </w:p>
    <w:p w14:paraId="31049596"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Investering i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obligationer bør kun ske </w:t>
      </w:r>
      <w:r w:rsidRPr="006B3074">
        <w:rPr>
          <w:rFonts w:asciiTheme="minorHAnsi" w:hAnsiTheme="minorHAnsi"/>
          <w:color w:val="808080" w:themeColor="background1" w:themeShade="80"/>
          <w:lang w:val="da-DK"/>
        </w:rPr>
        <w:t xml:space="preserve">for </w:t>
      </w:r>
      <w:r>
        <w:rPr>
          <w:rFonts w:asciiTheme="minorHAnsi" w:hAnsiTheme="minorHAnsi"/>
          <w:color w:val="808080" w:themeColor="background1" w:themeShade="80"/>
          <w:lang w:val="da-DK"/>
        </w:rPr>
        <w:t xml:space="preserve">en mindre del af den samlede </w:t>
      </w:r>
      <w:r w:rsidRPr="006B3074">
        <w:rPr>
          <w:rFonts w:asciiTheme="minorHAnsi" w:hAnsiTheme="minorHAnsi"/>
          <w:color w:val="808080" w:themeColor="background1" w:themeShade="80"/>
          <w:lang w:val="da-DK"/>
        </w:rPr>
        <w:t>portef</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lje</w:t>
      </w:r>
      <w:r>
        <w:rPr>
          <w:rFonts w:asciiTheme="minorHAnsi" w:hAnsiTheme="minorHAnsi"/>
          <w:color w:val="808080" w:themeColor="background1" w:themeShade="80"/>
          <w:lang w:val="da-DK"/>
        </w:rPr>
        <w:t xml:space="preserve"> – den del hvor du er</w:t>
      </w:r>
      <w:r w:rsidRPr="006B3074">
        <w:rPr>
          <w:rFonts w:asciiTheme="minorHAnsi" w:hAnsiTheme="minorHAnsi"/>
          <w:color w:val="808080" w:themeColor="background1" w:themeShade="80"/>
          <w:lang w:val="da-DK"/>
        </w:rPr>
        <w:t xml:space="preserve"> villig til at l</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be</w:t>
      </w:r>
      <w:r>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en h</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 xml:space="preserve">j investeringsrisiko.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obligationer er komplekse, og det er </w:t>
      </w:r>
      <w:r w:rsidRPr="006B3074">
        <w:rPr>
          <w:rFonts w:asciiTheme="minorHAnsi" w:hAnsiTheme="minorHAnsi"/>
          <w:color w:val="808080" w:themeColor="background1" w:themeShade="80"/>
          <w:lang w:val="da-DK"/>
        </w:rPr>
        <w:t>en foruds</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tning, at du har sat dig grundigt ind i produkttypens specielle egenskaber, herunder f</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lgende risikofaktorer:</w:t>
      </w:r>
    </w:p>
    <w:p w14:paraId="17EB5D82"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3B6EF8AD"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Ved køb af virksomhedsobligationer yder </w:t>
      </w:r>
      <w:r>
        <w:rPr>
          <w:rFonts w:asciiTheme="minorHAnsi" w:hAnsiTheme="minorHAnsi"/>
          <w:color w:val="808080" w:themeColor="background1" w:themeShade="80"/>
          <w:lang w:val="da-DK"/>
        </w:rPr>
        <w:t xml:space="preserve">du </w:t>
      </w:r>
      <w:r w:rsidRPr="00AD6607">
        <w:rPr>
          <w:rFonts w:asciiTheme="minorHAnsi" w:hAnsiTheme="minorHAnsi"/>
          <w:color w:val="808080" w:themeColor="background1" w:themeShade="80"/>
          <w:lang w:val="da-DK"/>
        </w:rPr>
        <w:t>kredit til et selskab, og afkastet afhænger af selskabets vilje og evne til at betale renter og afdrag på gælden.</w:t>
      </w:r>
    </w:p>
    <w:p w14:paraId="5696C79E" w14:textId="77777777" w:rsidR="008013BD" w:rsidRDefault="008013BD" w:rsidP="008013BD">
      <w:pPr>
        <w:pStyle w:val="BodyText"/>
        <w:spacing w:line="244" w:lineRule="auto"/>
        <w:ind w:left="142"/>
        <w:rPr>
          <w:rFonts w:asciiTheme="minorHAnsi" w:hAnsiTheme="minorHAnsi"/>
          <w:color w:val="808080" w:themeColor="background1" w:themeShade="80"/>
          <w:lang w:val="da-DK"/>
        </w:rPr>
      </w:pPr>
    </w:p>
    <w:p w14:paraId="2B46E462"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bookmarkStart w:id="0" w:name="_Hlk134427326"/>
      <w:bookmarkStart w:id="1" w:name="_Hlk134426995"/>
      <w:r w:rsidRPr="005A7CD5">
        <w:rPr>
          <w:rFonts w:asciiTheme="minorHAnsi" w:hAnsiTheme="minorHAnsi"/>
          <w:color w:val="808080" w:themeColor="background1" w:themeShade="80"/>
          <w:lang w:val="da-DK"/>
        </w:rPr>
        <w:t>Der er en rente- og eventuelt også en valutarisiko forbundet med investeringen</w:t>
      </w:r>
      <w:bookmarkEnd w:id="0"/>
      <w:r w:rsidRPr="005A7CD5">
        <w:rPr>
          <w:rFonts w:asciiTheme="minorHAnsi" w:hAnsiTheme="minorHAnsi"/>
          <w:color w:val="808080" w:themeColor="background1" w:themeShade="80"/>
          <w:lang w:val="da-DK"/>
        </w:rPr>
        <w:t xml:space="preserve">. </w:t>
      </w:r>
    </w:p>
    <w:p w14:paraId="2BE5A67C" w14:textId="77777777" w:rsidR="008013BD" w:rsidRDefault="008013BD" w:rsidP="008013BD">
      <w:pPr>
        <w:pStyle w:val="BodyText"/>
        <w:spacing w:line="244" w:lineRule="auto"/>
        <w:rPr>
          <w:rFonts w:asciiTheme="minorHAnsi" w:hAnsiTheme="minorHAnsi"/>
          <w:color w:val="808080" w:themeColor="background1" w:themeShade="80"/>
          <w:lang w:val="da-DK"/>
        </w:rPr>
      </w:pPr>
    </w:p>
    <w:bookmarkEnd w:id="1"/>
    <w:p w14:paraId="59B44DC8"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r w:rsidRPr="00E32EAE">
        <w:rPr>
          <w:rFonts w:asciiTheme="minorHAnsi" w:hAnsiTheme="minorHAnsi"/>
          <w:color w:val="808080" w:themeColor="background1" w:themeShade="80"/>
          <w:lang w:val="da-DK"/>
        </w:rPr>
        <w:t xml:space="preserve">Investering i en </w:t>
      </w:r>
      <w:proofErr w:type="spellStart"/>
      <w:r w:rsidRPr="00E32EAE">
        <w:rPr>
          <w:rFonts w:asciiTheme="minorHAnsi" w:hAnsiTheme="minorHAnsi"/>
          <w:color w:val="808080" w:themeColor="background1" w:themeShade="80"/>
          <w:lang w:val="da-DK"/>
        </w:rPr>
        <w:t>CoCo</w:t>
      </w:r>
      <w:proofErr w:type="spellEnd"/>
      <w:r w:rsidRPr="00E32EAE">
        <w:rPr>
          <w:rFonts w:asciiTheme="minorHAnsi" w:hAnsiTheme="minorHAnsi"/>
          <w:color w:val="808080" w:themeColor="background1" w:themeShade="80"/>
          <w:lang w:val="da-DK"/>
        </w:rPr>
        <w:t>-obligation kan medf</w:t>
      </w:r>
      <w:r w:rsidRPr="00E32EAE">
        <w:rPr>
          <w:rFonts w:asciiTheme="minorHAnsi" w:hAnsiTheme="minorHAnsi" w:hint="cs"/>
          <w:color w:val="808080" w:themeColor="background1" w:themeShade="80"/>
          <w:lang w:val="da-DK"/>
        </w:rPr>
        <w:t>ø</w:t>
      </w:r>
      <w:r w:rsidRPr="00E32EAE">
        <w:rPr>
          <w:rFonts w:asciiTheme="minorHAnsi" w:hAnsiTheme="minorHAnsi"/>
          <w:color w:val="808080" w:themeColor="background1" w:themeShade="80"/>
          <w:lang w:val="da-DK"/>
        </w:rPr>
        <w:t>re, at du taber investeringen helt</w:t>
      </w:r>
      <w:r>
        <w:rPr>
          <w:rFonts w:asciiTheme="minorHAnsi" w:hAnsiTheme="minorHAnsi"/>
          <w:color w:val="808080" w:themeColor="background1" w:themeShade="80"/>
          <w:lang w:val="da-DK"/>
        </w:rPr>
        <w:t xml:space="preserve"> eller delvist</w:t>
      </w:r>
      <w:r w:rsidRPr="00E32EAE">
        <w:rPr>
          <w:rFonts w:asciiTheme="minorHAnsi" w:hAnsiTheme="minorHAnsi"/>
          <w:color w:val="808080" w:themeColor="background1" w:themeShade="80"/>
          <w:lang w:val="da-DK"/>
        </w:rPr>
        <w:t>, ogs</w:t>
      </w:r>
      <w:r w:rsidRPr="00E32EAE">
        <w:rPr>
          <w:rFonts w:asciiTheme="minorHAnsi" w:hAnsiTheme="minorHAnsi" w:hint="cs"/>
          <w:color w:val="808080" w:themeColor="background1" w:themeShade="80"/>
          <w:lang w:val="da-DK"/>
        </w:rPr>
        <w:t>å</w:t>
      </w:r>
      <w:r w:rsidRPr="00E32EAE">
        <w:rPr>
          <w:rFonts w:asciiTheme="minorHAnsi" w:hAnsiTheme="minorHAnsi"/>
          <w:color w:val="808080" w:themeColor="background1" w:themeShade="80"/>
          <w:lang w:val="da-DK"/>
        </w:rPr>
        <w:t xml:space="preserve"> selvom udsteder kun er i risikozonen for at g</w:t>
      </w:r>
      <w:r w:rsidRPr="00E32EAE">
        <w:rPr>
          <w:rFonts w:asciiTheme="minorHAnsi" w:hAnsiTheme="minorHAnsi" w:hint="cs"/>
          <w:color w:val="808080" w:themeColor="background1" w:themeShade="80"/>
          <w:lang w:val="da-DK"/>
        </w:rPr>
        <w:t>å</w:t>
      </w:r>
      <w:r w:rsidRPr="00E32EAE">
        <w:rPr>
          <w:rFonts w:asciiTheme="minorHAnsi" w:hAnsiTheme="minorHAnsi"/>
          <w:color w:val="808080" w:themeColor="background1" w:themeShade="80"/>
          <w:lang w:val="da-DK"/>
        </w:rPr>
        <w:t xml:space="preserve"> konkurs. </w:t>
      </w:r>
      <w:proofErr w:type="spellStart"/>
      <w:r w:rsidRPr="00E32EAE">
        <w:rPr>
          <w:rFonts w:asciiTheme="minorHAnsi" w:hAnsiTheme="minorHAnsi"/>
          <w:color w:val="808080" w:themeColor="background1" w:themeShade="80"/>
          <w:lang w:val="da-DK"/>
        </w:rPr>
        <w:t>CoCo</w:t>
      </w:r>
      <w:proofErr w:type="spellEnd"/>
      <w:r w:rsidRPr="00E32EAE">
        <w:rPr>
          <w:rFonts w:asciiTheme="minorHAnsi" w:hAnsiTheme="minorHAnsi"/>
          <w:color w:val="808080" w:themeColor="background1" w:themeShade="80"/>
          <w:lang w:val="da-DK"/>
        </w:rPr>
        <w:t>-obligationen kan blive brugt som en st</w:t>
      </w:r>
      <w:r w:rsidRPr="00E32EAE">
        <w:rPr>
          <w:rFonts w:asciiTheme="minorHAnsi" w:hAnsiTheme="minorHAnsi" w:hint="cs"/>
          <w:color w:val="808080" w:themeColor="background1" w:themeShade="80"/>
          <w:lang w:val="da-DK"/>
        </w:rPr>
        <w:t>ø</w:t>
      </w:r>
      <w:r w:rsidRPr="00E32EAE">
        <w:rPr>
          <w:rFonts w:asciiTheme="minorHAnsi" w:hAnsiTheme="minorHAnsi"/>
          <w:color w:val="808080" w:themeColor="background1" w:themeShade="80"/>
          <w:lang w:val="da-DK"/>
        </w:rPr>
        <w:t>dpude til at afv</w:t>
      </w:r>
      <w:r w:rsidRPr="00E32EAE">
        <w:rPr>
          <w:rFonts w:asciiTheme="minorHAnsi" w:hAnsiTheme="minorHAnsi" w:hint="cs"/>
          <w:color w:val="808080" w:themeColor="background1" w:themeShade="80"/>
          <w:lang w:val="da-DK"/>
        </w:rPr>
        <w:t>æ</w:t>
      </w:r>
      <w:r w:rsidRPr="00E32EAE">
        <w:rPr>
          <w:rFonts w:asciiTheme="minorHAnsi" w:hAnsiTheme="minorHAnsi"/>
          <w:color w:val="808080" w:themeColor="background1" w:themeShade="80"/>
          <w:lang w:val="da-DK"/>
        </w:rPr>
        <w:t>rge en potentiel konkurs og sikre udsteders eventuelle overlevelse eller til at beskytte kreditorer ved en afvikling.</w:t>
      </w:r>
    </w:p>
    <w:p w14:paraId="0FF9940B" w14:textId="77777777" w:rsidR="008013BD" w:rsidRDefault="008013BD" w:rsidP="008013BD">
      <w:pPr>
        <w:pStyle w:val="ListParagraph"/>
        <w:rPr>
          <w:rFonts w:asciiTheme="minorHAnsi" w:hAnsiTheme="minorHAnsi"/>
          <w:color w:val="808080" w:themeColor="background1" w:themeShade="80"/>
          <w:lang w:val="da-DK"/>
        </w:rPr>
      </w:pPr>
    </w:p>
    <w:p w14:paraId="7518C4C0"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r w:rsidRPr="00E32EAE">
        <w:rPr>
          <w:rFonts w:asciiTheme="minorHAnsi" w:hAnsiTheme="minorHAnsi"/>
          <w:color w:val="808080" w:themeColor="background1" w:themeShade="80"/>
          <w:lang w:val="da-DK"/>
        </w:rPr>
        <w:t xml:space="preserve">Udstedere af </w:t>
      </w:r>
      <w:proofErr w:type="spellStart"/>
      <w:r w:rsidRPr="00E32EAE">
        <w:rPr>
          <w:rFonts w:asciiTheme="minorHAnsi" w:hAnsiTheme="minorHAnsi"/>
          <w:color w:val="808080" w:themeColor="background1" w:themeShade="80"/>
          <w:lang w:val="da-DK"/>
        </w:rPr>
        <w:t>CoCo</w:t>
      </w:r>
      <w:proofErr w:type="spellEnd"/>
      <w:r w:rsidRPr="00E32EAE">
        <w:rPr>
          <w:rFonts w:asciiTheme="minorHAnsi" w:hAnsiTheme="minorHAnsi"/>
          <w:color w:val="808080" w:themeColor="background1" w:themeShade="80"/>
          <w:lang w:val="da-DK"/>
        </w:rPr>
        <w:t>-obligationer er samlet set udsat for mange forskellige risici, der tilsammen eller hver for sig vil kunne medvirke til, at udsteder kommer i økonomiske problemer. Det kan resultere i, at udsteders kapitaln</w:t>
      </w:r>
      <w:r w:rsidRPr="00E32EAE">
        <w:rPr>
          <w:rFonts w:asciiTheme="minorHAnsi" w:hAnsiTheme="minorHAnsi" w:hint="cs"/>
          <w:color w:val="808080" w:themeColor="background1" w:themeShade="80"/>
          <w:lang w:val="da-DK"/>
        </w:rPr>
        <w:t>ø</w:t>
      </w:r>
      <w:r w:rsidRPr="00E32EAE">
        <w:rPr>
          <w:rFonts w:asciiTheme="minorHAnsi" w:hAnsiTheme="minorHAnsi"/>
          <w:color w:val="808080" w:themeColor="background1" w:themeShade="80"/>
          <w:lang w:val="da-DK"/>
        </w:rPr>
        <w:t>gletal falder under det i obligationen fastlagte triggerniveau, og at hovedstolen som f</w:t>
      </w:r>
      <w:r w:rsidRPr="00E32EAE">
        <w:rPr>
          <w:rFonts w:asciiTheme="minorHAnsi" w:hAnsiTheme="minorHAnsi" w:hint="cs"/>
          <w:color w:val="808080" w:themeColor="background1" w:themeShade="80"/>
          <w:lang w:val="da-DK"/>
        </w:rPr>
        <w:t>ø</w:t>
      </w:r>
      <w:r w:rsidRPr="00E32EAE">
        <w:rPr>
          <w:rFonts w:asciiTheme="minorHAnsi" w:hAnsiTheme="minorHAnsi"/>
          <w:color w:val="808080" w:themeColor="background1" w:themeShade="80"/>
          <w:lang w:val="da-DK"/>
        </w:rPr>
        <w:t>lge heraf m</w:t>
      </w:r>
      <w:r w:rsidRPr="00E32EAE">
        <w:rPr>
          <w:rFonts w:asciiTheme="minorHAnsi" w:hAnsiTheme="minorHAnsi" w:hint="cs"/>
          <w:color w:val="808080" w:themeColor="background1" w:themeShade="80"/>
          <w:lang w:val="da-DK"/>
        </w:rPr>
        <w:t>å</w:t>
      </w:r>
      <w:r w:rsidRPr="00E32EAE">
        <w:rPr>
          <w:rFonts w:asciiTheme="minorHAnsi" w:hAnsiTheme="minorHAnsi"/>
          <w:color w:val="808080" w:themeColor="background1" w:themeShade="80"/>
          <w:lang w:val="da-DK"/>
        </w:rPr>
        <w:t xml:space="preserve"> nedskrives eller konverteres. </w:t>
      </w:r>
    </w:p>
    <w:p w14:paraId="4D64F2DB"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5240E472" w14:textId="369F338F"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obligationer er dybt efterstillede. Kun aktionærerne står lavere i prioritetsstillingen</w:t>
      </w:r>
      <w:r w:rsidRPr="006B3074">
        <w:rPr>
          <w:rFonts w:asciiTheme="minorHAnsi" w:hAnsiTheme="minorHAnsi"/>
          <w:color w:val="808080" w:themeColor="background1" w:themeShade="80"/>
          <w:lang w:val="da-DK"/>
        </w:rPr>
        <w:t>. I visse tilf</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lde vil du kunne miste dine penge, selvom aktion</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rerne ikke taber deres kapital. Du l</w:t>
      </w:r>
      <w:r w:rsidRPr="006B3074">
        <w:rPr>
          <w:rFonts w:asciiTheme="minorHAnsi" w:hAnsiTheme="minorHAnsi" w:hint="cs"/>
          <w:color w:val="808080" w:themeColor="background1" w:themeShade="80"/>
          <w:lang w:val="da-DK"/>
        </w:rPr>
        <w:t>ø</w:t>
      </w:r>
      <w:r w:rsidRPr="006B3074">
        <w:rPr>
          <w:rFonts w:asciiTheme="minorHAnsi" w:hAnsiTheme="minorHAnsi"/>
          <w:color w:val="808080" w:themeColor="background1" w:themeShade="80"/>
          <w:lang w:val="da-DK"/>
        </w:rPr>
        <w:t>ber derfor en meget betydelig tabsrisiko</w:t>
      </w:r>
      <w:r>
        <w:rPr>
          <w:rFonts w:asciiTheme="minorHAnsi" w:hAnsiTheme="minorHAnsi"/>
          <w:color w:val="808080" w:themeColor="background1" w:themeShade="80"/>
          <w:lang w:val="da-DK"/>
        </w:rPr>
        <w:t>, hvis udsteder kommer i betalingsproblemer</w:t>
      </w:r>
      <w:r>
        <w:rPr>
          <w:rFonts w:asciiTheme="minorHAnsi" w:hAnsiTheme="minorHAnsi"/>
          <w:color w:val="808080" w:themeColor="background1" w:themeShade="80"/>
          <w:lang w:val="da-DK"/>
        </w:rPr>
        <w:t>.</w:t>
      </w:r>
    </w:p>
    <w:p w14:paraId="06BD8253"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1E88DC6E"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r w:rsidRPr="00E32EAE">
        <w:rPr>
          <w:rFonts w:asciiTheme="minorHAnsi" w:hAnsiTheme="minorHAnsi"/>
          <w:color w:val="808080" w:themeColor="background1" w:themeShade="80"/>
          <w:lang w:val="da-DK"/>
        </w:rPr>
        <w:t>Du l</w:t>
      </w:r>
      <w:r w:rsidRPr="00E32EAE">
        <w:rPr>
          <w:rFonts w:asciiTheme="minorHAnsi" w:hAnsiTheme="minorHAnsi" w:hint="cs"/>
          <w:color w:val="808080" w:themeColor="background1" w:themeShade="80"/>
          <w:lang w:val="da-DK"/>
        </w:rPr>
        <w:t>ø</w:t>
      </w:r>
      <w:r w:rsidRPr="00E32EAE">
        <w:rPr>
          <w:rFonts w:asciiTheme="minorHAnsi" w:hAnsiTheme="minorHAnsi"/>
          <w:color w:val="808080" w:themeColor="background1" w:themeShade="80"/>
          <w:lang w:val="da-DK"/>
        </w:rPr>
        <w:t>ber ogs</w:t>
      </w:r>
      <w:r w:rsidRPr="00E32EAE">
        <w:rPr>
          <w:rFonts w:asciiTheme="minorHAnsi" w:hAnsiTheme="minorHAnsi" w:hint="cs"/>
          <w:color w:val="808080" w:themeColor="background1" w:themeShade="80"/>
          <w:lang w:val="da-DK"/>
        </w:rPr>
        <w:t>å</w:t>
      </w:r>
      <w:r w:rsidRPr="00E32EAE">
        <w:rPr>
          <w:rFonts w:asciiTheme="minorHAnsi" w:hAnsiTheme="minorHAnsi"/>
          <w:color w:val="808080" w:themeColor="background1" w:themeShade="80"/>
          <w:lang w:val="da-DK"/>
        </w:rPr>
        <w:t xml:space="preserve"> en likviditetsrisiko. I perioder </w:t>
      </w:r>
      <w:r w:rsidRPr="00E32EAE">
        <w:rPr>
          <w:rFonts w:asciiTheme="minorHAnsi" w:hAnsiTheme="minorHAnsi" w:hint="cs"/>
          <w:color w:val="808080" w:themeColor="background1" w:themeShade="80"/>
          <w:lang w:val="da-DK"/>
        </w:rPr>
        <w:t>–</w:t>
      </w:r>
      <w:r w:rsidRPr="00E32EAE">
        <w:rPr>
          <w:rFonts w:asciiTheme="minorHAnsi" w:hAnsiTheme="minorHAnsi"/>
          <w:color w:val="808080" w:themeColor="background1" w:themeShade="80"/>
          <w:lang w:val="da-DK"/>
        </w:rPr>
        <w:t xml:space="preserve"> specielt under urolige markedsforhold </w:t>
      </w:r>
      <w:r w:rsidRPr="00E32EAE">
        <w:rPr>
          <w:rFonts w:asciiTheme="minorHAnsi" w:hAnsiTheme="minorHAnsi" w:hint="cs"/>
          <w:color w:val="808080" w:themeColor="background1" w:themeShade="80"/>
          <w:lang w:val="da-DK"/>
        </w:rPr>
        <w:t>–</w:t>
      </w:r>
      <w:r w:rsidRPr="00E32EAE">
        <w:rPr>
          <w:rFonts w:asciiTheme="minorHAnsi" w:hAnsiTheme="minorHAnsi"/>
          <w:color w:val="808080" w:themeColor="background1" w:themeShade="80"/>
          <w:lang w:val="da-DK"/>
        </w:rPr>
        <w:t xml:space="preserve"> kan det v</w:t>
      </w:r>
      <w:r w:rsidRPr="00E32EAE">
        <w:rPr>
          <w:rFonts w:asciiTheme="minorHAnsi" w:hAnsiTheme="minorHAnsi" w:hint="cs"/>
          <w:color w:val="808080" w:themeColor="background1" w:themeShade="80"/>
          <w:lang w:val="da-DK"/>
        </w:rPr>
        <w:t>æ</w:t>
      </w:r>
      <w:r w:rsidRPr="00E32EAE">
        <w:rPr>
          <w:rFonts w:asciiTheme="minorHAnsi" w:hAnsiTheme="minorHAnsi"/>
          <w:color w:val="808080" w:themeColor="background1" w:themeShade="80"/>
          <w:lang w:val="da-DK"/>
        </w:rPr>
        <w:t>re</w:t>
      </w:r>
      <w:r>
        <w:rPr>
          <w:rFonts w:asciiTheme="minorHAnsi" w:hAnsiTheme="minorHAnsi"/>
          <w:color w:val="808080" w:themeColor="background1" w:themeShade="80"/>
          <w:lang w:val="da-DK"/>
        </w:rPr>
        <w:t xml:space="preserve"> </w:t>
      </w:r>
      <w:r w:rsidRPr="00E32EAE">
        <w:rPr>
          <w:rFonts w:asciiTheme="minorHAnsi" w:hAnsiTheme="minorHAnsi"/>
          <w:color w:val="808080" w:themeColor="background1" w:themeShade="80"/>
          <w:lang w:val="da-DK"/>
        </w:rPr>
        <w:t>vanskeligt eller umuligt at oms</w:t>
      </w:r>
      <w:r w:rsidRPr="00E32EAE">
        <w:rPr>
          <w:rFonts w:asciiTheme="minorHAnsi" w:hAnsiTheme="minorHAnsi" w:hint="cs"/>
          <w:color w:val="808080" w:themeColor="background1" w:themeShade="80"/>
          <w:lang w:val="da-DK"/>
        </w:rPr>
        <w:t>æ</w:t>
      </w:r>
      <w:r w:rsidRPr="00E32EAE">
        <w:rPr>
          <w:rFonts w:asciiTheme="minorHAnsi" w:hAnsiTheme="minorHAnsi"/>
          <w:color w:val="808080" w:themeColor="background1" w:themeShade="80"/>
          <w:lang w:val="da-DK"/>
        </w:rPr>
        <w:t>tte obligationen.</w:t>
      </w:r>
    </w:p>
    <w:p w14:paraId="2B6F3B3D"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037D3AD6" w14:textId="77777777" w:rsidR="008013BD" w:rsidRDefault="008013BD" w:rsidP="008013BD">
      <w:pPr>
        <w:pStyle w:val="BodyText"/>
        <w:numPr>
          <w:ilvl w:val="0"/>
          <w:numId w:val="12"/>
        </w:numPr>
        <w:spacing w:line="244" w:lineRule="auto"/>
        <w:ind w:left="142" w:hanging="142"/>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 fleste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obligationer</w:t>
      </w:r>
      <w:r w:rsidRPr="00E32EAE">
        <w:rPr>
          <w:rFonts w:asciiTheme="minorHAnsi" w:hAnsiTheme="minorHAnsi"/>
          <w:color w:val="808080" w:themeColor="background1" w:themeShade="80"/>
          <w:lang w:val="da-DK"/>
        </w:rPr>
        <w:t xml:space="preserve"> indeholder forskellige indfrielses-betingelser, der kan være til fordel eller ulempe for </w:t>
      </w:r>
      <w:r>
        <w:rPr>
          <w:rFonts w:asciiTheme="minorHAnsi" w:hAnsiTheme="minorHAnsi"/>
          <w:color w:val="808080" w:themeColor="background1" w:themeShade="80"/>
          <w:lang w:val="da-DK"/>
        </w:rPr>
        <w:t xml:space="preserve">dig som </w:t>
      </w:r>
      <w:r w:rsidRPr="00E32EAE">
        <w:rPr>
          <w:rFonts w:asciiTheme="minorHAnsi" w:hAnsiTheme="minorHAnsi"/>
          <w:color w:val="808080" w:themeColor="background1" w:themeShade="80"/>
          <w:lang w:val="da-DK"/>
        </w:rPr>
        <w:t xml:space="preserve">investor. </w:t>
      </w:r>
      <w:r>
        <w:rPr>
          <w:rFonts w:asciiTheme="minorHAnsi" w:hAnsiTheme="minorHAnsi"/>
          <w:color w:val="808080" w:themeColor="background1" w:themeShade="80"/>
          <w:lang w:val="da-DK"/>
        </w:rPr>
        <w:t xml:space="preserve">Du </w:t>
      </w:r>
      <w:r w:rsidRPr="00E32EAE">
        <w:rPr>
          <w:rFonts w:asciiTheme="minorHAnsi" w:hAnsiTheme="minorHAnsi"/>
          <w:color w:val="808080" w:themeColor="background1" w:themeShade="80"/>
          <w:lang w:val="da-DK"/>
        </w:rPr>
        <w:t>anbefales derfor at sætte sig ind i disse forhold inden køb af obligationen.</w:t>
      </w:r>
    </w:p>
    <w:p w14:paraId="7646D32B" w14:textId="77777777" w:rsidR="008013BD" w:rsidRPr="00E32EAE" w:rsidRDefault="008013BD" w:rsidP="008013BD">
      <w:pPr>
        <w:pStyle w:val="BodyText"/>
        <w:spacing w:line="244" w:lineRule="auto"/>
        <w:ind w:left="142"/>
        <w:rPr>
          <w:rFonts w:asciiTheme="minorHAnsi" w:hAnsiTheme="minorHAnsi"/>
          <w:color w:val="808080" w:themeColor="background1" w:themeShade="80"/>
          <w:lang w:val="da-DK"/>
        </w:rPr>
      </w:pPr>
    </w:p>
    <w:p w14:paraId="16201801" w14:textId="77777777" w:rsidR="008013BD" w:rsidRPr="008307BC" w:rsidRDefault="008013BD" w:rsidP="008013BD">
      <w:pPr>
        <w:pStyle w:val="Heading1"/>
        <w:spacing w:before="91"/>
        <w:ind w:left="0"/>
        <w:rPr>
          <w:rFonts w:asciiTheme="minorHAnsi" w:hAnsiTheme="minorHAnsi"/>
          <w:b w:val="0"/>
          <w:bCs w:val="0"/>
          <w:color w:val="808080" w:themeColor="background1" w:themeShade="80"/>
          <w:lang w:val="da-DK"/>
        </w:rPr>
      </w:pPr>
      <w:r w:rsidRPr="00EB7371">
        <w:rPr>
          <w:rFonts w:asciiTheme="minorHAnsi" w:hAnsiTheme="minorHAnsi"/>
          <w:color w:val="000000" w:themeColor="text1"/>
          <w:lang w:val="da-DK"/>
        </w:rPr>
        <w:t>Bæredygtighedsrisiko</w:t>
      </w:r>
    </w:p>
    <w:p w14:paraId="684589BF" w14:textId="77777777" w:rsidR="008013BD" w:rsidRPr="0075322B" w:rsidRDefault="008013BD" w:rsidP="008013B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Ved bæredygtighedsrisiko forstås en miljømæssig, social eller ledelsesmæssig begivenhed eller omstændighed, som hvis den indtræffer, kan have negativ indvirkning på værdien af investeringen.</w:t>
      </w:r>
    </w:p>
    <w:p w14:paraId="4EC244BE" w14:textId="77777777" w:rsidR="008013BD" w:rsidRPr="0075322B" w:rsidRDefault="008013BD" w:rsidP="008013BD">
      <w:pPr>
        <w:pStyle w:val="BodyText"/>
        <w:spacing w:line="244" w:lineRule="auto"/>
        <w:rPr>
          <w:rFonts w:asciiTheme="minorHAnsi" w:hAnsiTheme="minorHAnsi"/>
          <w:color w:val="808080" w:themeColor="background1" w:themeShade="80"/>
          <w:lang w:val="da-DK"/>
        </w:rPr>
      </w:pPr>
    </w:p>
    <w:p w14:paraId="0DD41D7F" w14:textId="77777777" w:rsidR="008013BD" w:rsidRPr="0075322B" w:rsidRDefault="008013BD" w:rsidP="008013B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Bæredygtighedsrisici kan identificeres som særlige risici forbundet med udsteder i forbindelse med:</w:t>
      </w:r>
    </w:p>
    <w:p w14:paraId="1D7C36E7" w14:textId="77777777" w:rsidR="008013BD" w:rsidRPr="0075322B" w:rsidRDefault="008013BD" w:rsidP="008013B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41530460" w14:textId="77777777" w:rsidR="008013BD" w:rsidRPr="0075322B" w:rsidRDefault="008013BD" w:rsidP="008013BD">
      <w:pPr>
        <w:pStyle w:val="BodyText"/>
        <w:numPr>
          <w:ilvl w:val="0"/>
          <w:numId w:val="13"/>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Den grønne omstilling, hvilket vil påvirke efterspørgslen efter forskellige energikilder samt regulering for forbruget af disse</w:t>
      </w:r>
    </w:p>
    <w:p w14:paraId="28DBA327" w14:textId="77777777" w:rsidR="008013BD" w:rsidRPr="0075322B" w:rsidRDefault="008013BD" w:rsidP="008013BD">
      <w:pPr>
        <w:pStyle w:val="BodyText"/>
        <w:numPr>
          <w:ilvl w:val="0"/>
          <w:numId w:val="13"/>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xml:space="preserve">Klimaforandringer, hvilket </w:t>
      </w:r>
      <w:r>
        <w:rPr>
          <w:rFonts w:asciiTheme="minorHAnsi" w:hAnsiTheme="minorHAnsi"/>
          <w:color w:val="808080" w:themeColor="background1" w:themeShade="80"/>
          <w:lang w:val="da-DK"/>
        </w:rPr>
        <w:lastRenderedPageBreak/>
        <w:t>kan</w:t>
      </w:r>
      <w:r w:rsidRPr="0075322B">
        <w:rPr>
          <w:rFonts w:asciiTheme="minorHAnsi" w:hAnsiTheme="minorHAnsi"/>
          <w:color w:val="808080" w:themeColor="background1" w:themeShade="80"/>
          <w:lang w:val="da-DK"/>
        </w:rPr>
        <w:t xml:space="preserve"> indebære fysiske risici for udsteders værdier</w:t>
      </w:r>
    </w:p>
    <w:p w14:paraId="0D0EE590" w14:textId="77777777" w:rsidR="008013BD" w:rsidRPr="0075322B" w:rsidRDefault="008013BD" w:rsidP="008013BD">
      <w:pPr>
        <w:pStyle w:val="BodyText"/>
        <w:numPr>
          <w:ilvl w:val="0"/>
          <w:numId w:val="13"/>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Forurening, hvilket kan indebære omkostninger til udsteder for oprydning eller omstilling af produktionen</w:t>
      </w:r>
    </w:p>
    <w:p w14:paraId="0F89895A" w14:textId="77777777" w:rsidR="008013BD" w:rsidRPr="0075322B" w:rsidRDefault="008013BD" w:rsidP="008013BD">
      <w:pPr>
        <w:pStyle w:val="BodyText"/>
        <w:numPr>
          <w:ilvl w:val="0"/>
          <w:numId w:val="13"/>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God selskabsledelse, hvor mangel på diversitet og uafhængighed i bestyrelsen kan spille en rolle</w:t>
      </w:r>
    </w:p>
    <w:p w14:paraId="2A66F27A" w14:textId="77777777" w:rsidR="008013BD" w:rsidRPr="0075322B" w:rsidRDefault="008013BD" w:rsidP="008013B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4A70EF50" w14:textId="77777777" w:rsidR="008013BD" w:rsidRPr="00770DB0" w:rsidRDefault="008013BD" w:rsidP="008013BD">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Dette er eksempler på bæredygtigheds risici, og der kan være andre risici, der er særligt relevante for bestemte udstedere.</w:t>
      </w:r>
    </w:p>
    <w:p w14:paraId="6999A45B"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Hvor handles obligationerne?</w:t>
      </w:r>
    </w:p>
    <w:p w14:paraId="46431E29" w14:textId="77777777" w:rsidR="008013BD" w:rsidRDefault="008013BD" w:rsidP="008013BD">
      <w:pPr>
        <w:pStyle w:val="BodyText"/>
        <w:spacing w:line="244" w:lineRule="auto"/>
        <w:rPr>
          <w:rFonts w:asciiTheme="minorHAnsi" w:hAnsiTheme="minorHAnsi"/>
          <w:color w:val="808080" w:themeColor="background1" w:themeShade="80"/>
          <w:lang w:val="da-DK"/>
        </w:rPr>
      </w:pPr>
      <w:r w:rsidRPr="006B3074">
        <w:rPr>
          <w:rFonts w:asciiTheme="minorHAnsi" w:hAnsiTheme="minorHAnsi"/>
          <w:color w:val="808080" w:themeColor="background1" w:themeShade="80"/>
          <w:lang w:val="da-DK"/>
        </w:rPr>
        <w:t xml:space="preserve">Selv om en </w:t>
      </w:r>
      <w:proofErr w:type="spellStart"/>
      <w:r>
        <w:rPr>
          <w:rFonts w:asciiTheme="minorHAnsi" w:hAnsiTheme="minorHAnsi"/>
          <w:color w:val="808080" w:themeColor="background1" w:themeShade="80"/>
          <w:lang w:val="da-DK"/>
        </w:rPr>
        <w:t>CoCo</w:t>
      </w:r>
      <w:proofErr w:type="spellEnd"/>
      <w:r>
        <w:rPr>
          <w:rFonts w:asciiTheme="minorHAnsi" w:hAnsiTheme="minorHAnsi"/>
          <w:color w:val="808080" w:themeColor="background1" w:themeShade="80"/>
          <w:lang w:val="da-DK"/>
        </w:rPr>
        <w:t xml:space="preserve"> </w:t>
      </w:r>
      <w:r w:rsidRPr="006B3074">
        <w:rPr>
          <w:rFonts w:asciiTheme="minorHAnsi" w:hAnsiTheme="minorHAnsi"/>
          <w:color w:val="808080" w:themeColor="background1" w:themeShade="80"/>
          <w:lang w:val="da-DK"/>
        </w:rPr>
        <w:t>obligation er optaget til notering p</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 xml:space="preserve"> et reguleret </w:t>
      </w:r>
      <w:r w:rsidRPr="006B3074">
        <w:rPr>
          <w:rFonts w:asciiTheme="minorHAnsi" w:hAnsiTheme="minorHAnsi"/>
          <w:color w:val="808080" w:themeColor="background1" w:themeShade="80"/>
          <w:lang w:val="da-DK"/>
        </w:rPr>
        <w:t>marked, vil obligationen ofte blive handlet OTC (direkte mellem to parter). Det vil sige, at du ikke altid kan forvente, at der eksisterer en velfungerende markedsplads for denne type obligationer. Dette kan p</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virke b</w:t>
      </w:r>
      <w:r w:rsidRPr="006B3074">
        <w:rPr>
          <w:rFonts w:asciiTheme="minorHAnsi" w:hAnsiTheme="minorHAnsi" w:hint="cs"/>
          <w:color w:val="808080" w:themeColor="background1" w:themeShade="80"/>
          <w:lang w:val="da-DK"/>
        </w:rPr>
        <w:t>å</w:t>
      </w:r>
      <w:r w:rsidRPr="006B3074">
        <w:rPr>
          <w:rFonts w:asciiTheme="minorHAnsi" w:hAnsiTheme="minorHAnsi"/>
          <w:color w:val="808080" w:themeColor="background1" w:themeShade="80"/>
          <w:lang w:val="da-DK"/>
        </w:rPr>
        <w:t>de kursdannelse og oms</w:t>
      </w:r>
      <w:r w:rsidRPr="006B3074">
        <w:rPr>
          <w:rFonts w:asciiTheme="minorHAnsi" w:hAnsiTheme="minorHAnsi" w:hint="cs"/>
          <w:color w:val="808080" w:themeColor="background1" w:themeShade="80"/>
          <w:lang w:val="da-DK"/>
        </w:rPr>
        <w:t>æ</w:t>
      </w:r>
      <w:r w:rsidRPr="006B3074">
        <w:rPr>
          <w:rFonts w:asciiTheme="minorHAnsi" w:hAnsiTheme="minorHAnsi"/>
          <w:color w:val="808080" w:themeColor="background1" w:themeShade="80"/>
          <w:lang w:val="da-DK"/>
        </w:rPr>
        <w:t>ttelighed.</w:t>
      </w:r>
      <w:r>
        <w:rPr>
          <w:rFonts w:asciiTheme="minorHAnsi" w:hAnsiTheme="minorHAnsi"/>
          <w:color w:val="808080" w:themeColor="background1" w:themeShade="80"/>
          <w:lang w:val="da-DK"/>
        </w:rPr>
        <w:t xml:space="preserve"> </w:t>
      </w:r>
    </w:p>
    <w:p w14:paraId="17E8E257" w14:textId="77777777" w:rsidR="008013BD" w:rsidRDefault="008013BD" w:rsidP="008013BD">
      <w:pPr>
        <w:pStyle w:val="BodyText"/>
        <w:spacing w:line="244" w:lineRule="auto"/>
        <w:rPr>
          <w:rFonts w:asciiTheme="minorHAnsi" w:hAnsiTheme="minorHAnsi"/>
          <w:color w:val="808080" w:themeColor="background1" w:themeShade="80"/>
          <w:lang w:val="da-DK"/>
        </w:rPr>
      </w:pPr>
    </w:p>
    <w:p w14:paraId="5C3FD61B" w14:textId="77777777" w:rsidR="008013BD" w:rsidRPr="006B3074" w:rsidRDefault="008013BD" w:rsidP="008013BD">
      <w:pPr>
        <w:pStyle w:val="Heading1"/>
        <w:spacing w:before="91"/>
        <w:ind w:left="0"/>
        <w:rPr>
          <w:rFonts w:asciiTheme="minorHAnsi" w:hAnsiTheme="minorHAnsi"/>
          <w:color w:val="000000" w:themeColor="text1"/>
          <w:lang w:val="da-DK"/>
        </w:rPr>
      </w:pPr>
      <w:r w:rsidRPr="006B3074">
        <w:rPr>
          <w:rFonts w:asciiTheme="minorHAnsi" w:hAnsiTheme="minorHAnsi"/>
          <w:color w:val="000000" w:themeColor="text1"/>
          <w:lang w:val="da-DK"/>
        </w:rPr>
        <w:t>Skat</w:t>
      </w:r>
    </w:p>
    <w:p w14:paraId="1805B3FC" w14:textId="77777777" w:rsidR="008013BD" w:rsidRPr="00831483" w:rsidRDefault="008013BD" w:rsidP="008013BD">
      <w:pPr>
        <w:pStyle w:val="BodyText"/>
        <w:rPr>
          <w:rFonts w:asciiTheme="minorHAnsi" w:hAnsiTheme="minorHAnsi"/>
          <w:color w:val="808080" w:themeColor="background1" w:themeShade="80"/>
          <w:lang w:val="da-DK"/>
        </w:rPr>
      </w:pPr>
      <w:proofErr w:type="spellStart"/>
      <w:r w:rsidRPr="00CE719F">
        <w:rPr>
          <w:rFonts w:asciiTheme="minorHAnsi" w:hAnsiTheme="minorHAnsi"/>
          <w:color w:val="808080" w:themeColor="background1" w:themeShade="80"/>
          <w:lang w:val="da-DK"/>
        </w:rPr>
        <w:t>CoCo</w:t>
      </w:r>
      <w:proofErr w:type="spellEnd"/>
      <w:r w:rsidRPr="00CE719F">
        <w:rPr>
          <w:rFonts w:asciiTheme="minorHAnsi" w:hAnsiTheme="minorHAnsi"/>
          <w:color w:val="808080" w:themeColor="background1" w:themeShade="80"/>
          <w:lang w:val="da-DK"/>
        </w:rPr>
        <w:t>-obligationer er ikke et entydigt defineret begreb i dansk skatteret</w:t>
      </w:r>
      <w:r>
        <w:rPr>
          <w:rFonts w:asciiTheme="minorHAnsi" w:hAnsiTheme="minorHAnsi"/>
          <w:color w:val="808080" w:themeColor="background1" w:themeShade="80"/>
          <w:lang w:val="da-DK"/>
        </w:rPr>
        <w:t xml:space="preserve"> og d</w:t>
      </w:r>
      <w:r w:rsidRPr="00831483">
        <w:rPr>
          <w:rFonts w:asciiTheme="minorHAnsi" w:hAnsiTheme="minorHAnsi"/>
          <w:color w:val="808080" w:themeColor="background1" w:themeShade="80"/>
          <w:lang w:val="da-DK"/>
        </w:rPr>
        <w:t>en skattemæssige behandling af afkast fra investering i virksomhedsobligationer er forskellig, alt efter om du investerer frie midler, pensionsopsparing, virksomheds- eller selskabsmidler.</w:t>
      </w:r>
    </w:p>
    <w:p w14:paraId="2DD68CC9" w14:textId="77777777" w:rsidR="008013BD" w:rsidRPr="00831483" w:rsidRDefault="008013BD" w:rsidP="008013BD">
      <w:pPr>
        <w:pStyle w:val="BodyText"/>
        <w:rPr>
          <w:rFonts w:asciiTheme="minorHAnsi" w:hAnsiTheme="minorHAnsi"/>
          <w:color w:val="808080" w:themeColor="background1" w:themeShade="80"/>
          <w:lang w:val="da-DK"/>
        </w:rPr>
      </w:pPr>
    </w:p>
    <w:p w14:paraId="1AE3C460" w14:textId="77777777" w:rsidR="008013BD" w:rsidRPr="00831483" w:rsidRDefault="008013BD" w:rsidP="008013BD">
      <w:pPr>
        <w:pStyle w:val="BodyText"/>
        <w:rPr>
          <w:rFonts w:asciiTheme="minorHAnsi" w:hAnsiTheme="minorHAnsi"/>
          <w:color w:val="808080" w:themeColor="background1" w:themeShade="80"/>
          <w:lang w:val="da-DK"/>
        </w:rPr>
      </w:pPr>
      <w:r w:rsidRPr="00831483">
        <w:rPr>
          <w:rFonts w:asciiTheme="minorHAnsi" w:hAnsiTheme="minorHAnsi"/>
          <w:color w:val="808080" w:themeColor="background1" w:themeShade="80"/>
          <w:lang w:val="da-DK"/>
        </w:rPr>
        <w:t xml:space="preserve">Den skattemæssige behandling kan </w:t>
      </w:r>
      <w:r w:rsidRPr="00831483">
        <w:rPr>
          <w:rFonts w:asciiTheme="minorHAnsi" w:hAnsiTheme="minorHAnsi"/>
          <w:color w:val="808080" w:themeColor="background1" w:themeShade="80"/>
          <w:lang w:val="da-DK"/>
        </w:rPr>
        <w:t>variere og ændre sig afhængig af dine skattemæssige forhold, eller som følge af ændrede regler for beskatning.</w:t>
      </w:r>
    </w:p>
    <w:p w14:paraId="2EF16A0C" w14:textId="77777777" w:rsidR="008013BD" w:rsidRPr="00831483" w:rsidRDefault="008013BD" w:rsidP="008013BD">
      <w:pPr>
        <w:pStyle w:val="BodyText"/>
        <w:rPr>
          <w:rFonts w:asciiTheme="minorHAnsi" w:hAnsiTheme="minorHAnsi"/>
          <w:color w:val="808080" w:themeColor="background1" w:themeShade="80"/>
          <w:lang w:val="da-DK"/>
        </w:rPr>
      </w:pPr>
    </w:p>
    <w:p w14:paraId="7E7E19A9" w14:textId="77777777" w:rsidR="008013BD" w:rsidRPr="00CE719F" w:rsidRDefault="008013BD" w:rsidP="008013BD">
      <w:pPr>
        <w:pStyle w:val="BodyText"/>
        <w:spacing w:line="244" w:lineRule="auto"/>
        <w:rPr>
          <w:rFonts w:asciiTheme="minorHAnsi" w:hAnsiTheme="minorHAnsi"/>
          <w:color w:val="808080" w:themeColor="background1" w:themeShade="80"/>
          <w:lang w:val="da-DK"/>
        </w:rPr>
      </w:pPr>
      <w:r w:rsidRPr="00CE719F">
        <w:rPr>
          <w:rFonts w:asciiTheme="minorHAnsi" w:hAnsiTheme="minorHAnsi"/>
          <w:color w:val="808080" w:themeColor="background1" w:themeShade="80"/>
          <w:lang w:val="da-DK"/>
        </w:rPr>
        <w:t>Vi anbefaler derfor altid, at du kontakter en skatter</w:t>
      </w:r>
      <w:r w:rsidRPr="00CE719F">
        <w:rPr>
          <w:rFonts w:asciiTheme="minorHAnsi" w:hAnsiTheme="minorHAnsi" w:hint="cs"/>
          <w:color w:val="808080" w:themeColor="background1" w:themeShade="80"/>
          <w:lang w:val="da-DK"/>
        </w:rPr>
        <w:t>å</w:t>
      </w:r>
      <w:r w:rsidRPr="00CE719F">
        <w:rPr>
          <w:rFonts w:asciiTheme="minorHAnsi" w:hAnsiTheme="minorHAnsi"/>
          <w:color w:val="808080" w:themeColor="background1" w:themeShade="80"/>
          <w:lang w:val="da-DK"/>
        </w:rPr>
        <w:t>dgiver for at f</w:t>
      </w:r>
      <w:r w:rsidRPr="00CE719F">
        <w:rPr>
          <w:rFonts w:asciiTheme="minorHAnsi" w:hAnsiTheme="minorHAnsi" w:hint="cs"/>
          <w:color w:val="808080" w:themeColor="background1" w:themeShade="80"/>
          <w:lang w:val="da-DK"/>
        </w:rPr>
        <w:t>å</w:t>
      </w:r>
      <w:r w:rsidRPr="00CE719F">
        <w:rPr>
          <w:rFonts w:asciiTheme="minorHAnsi" w:hAnsiTheme="minorHAnsi"/>
          <w:color w:val="808080" w:themeColor="background1" w:themeShade="80"/>
          <w:lang w:val="da-DK"/>
        </w:rPr>
        <w:t xml:space="preserve"> klarlagt de skattem</w:t>
      </w:r>
      <w:r w:rsidRPr="00CE719F">
        <w:rPr>
          <w:rFonts w:asciiTheme="minorHAnsi" w:hAnsiTheme="minorHAnsi" w:hint="cs"/>
          <w:color w:val="808080" w:themeColor="background1" w:themeShade="80"/>
          <w:lang w:val="da-DK"/>
        </w:rPr>
        <w:t>æ</w:t>
      </w:r>
      <w:r w:rsidRPr="00CE719F">
        <w:rPr>
          <w:rFonts w:asciiTheme="minorHAnsi" w:hAnsiTheme="minorHAnsi"/>
          <w:color w:val="808080" w:themeColor="background1" w:themeShade="80"/>
          <w:lang w:val="da-DK"/>
        </w:rPr>
        <w:t xml:space="preserve">ssige konsekvenser inden du investerer i en </w:t>
      </w:r>
      <w:proofErr w:type="spellStart"/>
      <w:r w:rsidRPr="00CE719F">
        <w:rPr>
          <w:rFonts w:asciiTheme="minorHAnsi" w:hAnsiTheme="minorHAnsi"/>
          <w:color w:val="808080" w:themeColor="background1" w:themeShade="80"/>
          <w:lang w:val="da-DK"/>
        </w:rPr>
        <w:t>CoCo</w:t>
      </w:r>
      <w:proofErr w:type="spellEnd"/>
      <w:r w:rsidRPr="00CE719F">
        <w:rPr>
          <w:rFonts w:asciiTheme="minorHAnsi" w:hAnsiTheme="minorHAnsi"/>
          <w:color w:val="808080" w:themeColor="background1" w:themeShade="80"/>
          <w:lang w:val="da-DK"/>
        </w:rPr>
        <w:t>-obligation.</w:t>
      </w:r>
    </w:p>
    <w:p w14:paraId="46AB574A" w14:textId="77777777" w:rsidR="008013BD" w:rsidRPr="006B3074" w:rsidRDefault="008013BD" w:rsidP="008013BD">
      <w:pPr>
        <w:pStyle w:val="BodyText"/>
        <w:spacing w:line="244" w:lineRule="auto"/>
        <w:rPr>
          <w:rFonts w:asciiTheme="minorHAnsi" w:hAnsiTheme="minorHAnsi"/>
          <w:color w:val="808080" w:themeColor="background1" w:themeShade="80"/>
          <w:lang w:val="da-DK"/>
        </w:rPr>
      </w:pPr>
    </w:p>
    <w:p w14:paraId="36408521" w14:textId="77777777" w:rsidR="008013BD" w:rsidRPr="00355AB4" w:rsidRDefault="008013BD" w:rsidP="008013BD">
      <w:pPr>
        <w:pStyle w:val="Heading1"/>
        <w:spacing w:before="91"/>
        <w:ind w:left="0"/>
        <w:rPr>
          <w:rFonts w:asciiTheme="minorHAnsi" w:hAnsiTheme="minorHAnsi"/>
          <w:color w:val="000000" w:themeColor="text1"/>
          <w:lang w:val="da-DK"/>
        </w:rPr>
      </w:pPr>
      <w:r w:rsidRPr="00355AB4">
        <w:rPr>
          <w:rFonts w:asciiTheme="minorHAnsi" w:hAnsiTheme="minorHAnsi"/>
          <w:color w:val="000000" w:themeColor="text1"/>
          <w:lang w:val="da-DK"/>
        </w:rPr>
        <w:t>Belåning af egne udstedelser</w:t>
      </w:r>
    </w:p>
    <w:p w14:paraId="64401542" w14:textId="77777777" w:rsidR="008013BD" w:rsidRPr="00061BBF" w:rsidRDefault="008013BD" w:rsidP="008013BD">
      <w:pPr>
        <w:pStyle w:val="BodyText"/>
        <w:spacing w:line="244" w:lineRule="auto"/>
        <w:rPr>
          <w:color w:val="808080" w:themeColor="background1" w:themeShade="80"/>
          <w:lang w:val="da-DK"/>
        </w:rPr>
      </w:pPr>
      <w:r w:rsidRPr="00355AB4">
        <w:rPr>
          <w:rFonts w:asciiTheme="minorHAnsi" w:hAnsiTheme="minorHAnsi"/>
          <w:color w:val="808080" w:themeColor="background1" w:themeShade="80"/>
          <w:lang w:val="da-DK"/>
        </w:rPr>
        <w:t xml:space="preserve">Pengeinstitutterne må ikke medvirke til belåning af eller finansiere køb af egne udstedelser.  </w:t>
      </w:r>
    </w:p>
    <w:p w14:paraId="4A3E38F3" w14:textId="77777777" w:rsidR="004B28D5" w:rsidRDefault="004B28D5" w:rsidP="004B28D5">
      <w:pPr>
        <w:spacing w:after="0" w:line="240" w:lineRule="auto"/>
        <w:rPr>
          <w:color w:val="808080" w:themeColor="background1" w:themeShade="80"/>
        </w:rPr>
      </w:pPr>
    </w:p>
    <w:p w14:paraId="24275DAF" w14:textId="77777777" w:rsidR="00BC1A76" w:rsidRDefault="00BC1A76" w:rsidP="004B28D5">
      <w:pPr>
        <w:spacing w:after="0" w:line="240" w:lineRule="auto"/>
        <w:rPr>
          <w:color w:val="808080" w:themeColor="background1" w:themeShade="80"/>
        </w:rPr>
      </w:pPr>
    </w:p>
    <w:p w14:paraId="1541C869" w14:textId="6EB2E7D5" w:rsidR="00BC1A76" w:rsidRPr="004F0B90" w:rsidRDefault="00BC1A76" w:rsidP="00BC1A76">
      <w:pPr>
        <w:pStyle w:val="BodyText"/>
        <w:rPr>
          <w:rFonts w:asciiTheme="minorHAnsi" w:hAnsiTheme="minorHAnsi" w:cstheme="minorHAnsi"/>
          <w:color w:val="808080" w:themeColor="background1" w:themeShade="80"/>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8013BD">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37F89D0D" w14:textId="4F26F239" w:rsidR="00BC1A76" w:rsidRPr="00971A87" w:rsidRDefault="00BC1A76" w:rsidP="004B28D5">
      <w:pPr>
        <w:spacing w:after="0" w:line="240" w:lineRule="auto"/>
        <w:rPr>
          <w:color w:val="808080" w:themeColor="background1" w:themeShade="80"/>
        </w:rPr>
        <w:sectPr w:rsidR="00BC1A76" w:rsidRPr="00971A87" w:rsidSect="005B54B8">
          <w:type w:val="continuous"/>
          <w:pgSz w:w="11906" w:h="16838"/>
          <w:pgMar w:top="1701" w:right="1134" w:bottom="1701" w:left="1134" w:header="708" w:footer="708" w:gutter="0"/>
          <w:cols w:num="3" w:space="708"/>
          <w:docGrid w:linePitch="360"/>
        </w:sectPr>
      </w:pPr>
    </w:p>
    <w:p w14:paraId="70426C47" w14:textId="719A004D"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6605" w14:textId="77777777" w:rsidR="009A16F7" w:rsidRDefault="009A16F7">
      <w:pPr>
        <w:spacing w:after="0" w:line="240" w:lineRule="auto"/>
      </w:pPr>
      <w:r>
        <w:separator/>
      </w:r>
    </w:p>
  </w:endnote>
  <w:endnote w:type="continuationSeparator" w:id="0">
    <w:p w14:paraId="05931C81" w14:textId="77777777" w:rsidR="009A16F7" w:rsidRDefault="009A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B8B" w14:textId="77777777" w:rsidR="009A16F7" w:rsidRDefault="009A16F7">
      <w:pPr>
        <w:spacing w:after="0" w:line="240" w:lineRule="auto"/>
      </w:pPr>
      <w:r>
        <w:separator/>
      </w:r>
    </w:p>
  </w:footnote>
  <w:footnote w:type="continuationSeparator" w:id="0">
    <w:p w14:paraId="1AB5DE3F" w14:textId="77777777" w:rsidR="009A16F7" w:rsidRDefault="009A1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2F8"/>
    <w:multiLevelType w:val="hybridMultilevel"/>
    <w:tmpl w:val="BD4A39F6"/>
    <w:lvl w:ilvl="0" w:tplc="2160B01C">
      <w:numFmt w:val="bullet"/>
      <w:lvlText w:val=""/>
      <w:lvlJc w:val="left"/>
      <w:pPr>
        <w:ind w:left="720" w:hanging="360"/>
      </w:pPr>
      <w:rPr>
        <w:rFonts w:ascii="Symbol" w:eastAsia="FoundryFormSans-Book" w:hAnsi="Symbol" w:cs="FoundryFormSans-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0C5C1313"/>
    <w:multiLevelType w:val="hybridMultilevel"/>
    <w:tmpl w:val="AB3C7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4E4E7C"/>
    <w:multiLevelType w:val="hybridMultilevel"/>
    <w:tmpl w:val="62F4B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085840"/>
    <w:multiLevelType w:val="hybridMultilevel"/>
    <w:tmpl w:val="963ABD36"/>
    <w:lvl w:ilvl="0" w:tplc="4EB00A2A">
      <w:start w:val="1"/>
      <w:numFmt w:val="decimal"/>
      <w:lvlText w:val="%1."/>
      <w:lvlJc w:val="left"/>
      <w:pPr>
        <w:ind w:left="560" w:hanging="227"/>
      </w:pPr>
      <w:rPr>
        <w:rFonts w:ascii="FoundryFormSans-Book" w:eastAsia="FoundryFormSans-Book" w:hAnsi="FoundryFormSans-Book" w:hint="default"/>
        <w:color w:val="58595B"/>
        <w:sz w:val="18"/>
        <w:szCs w:val="18"/>
      </w:rPr>
    </w:lvl>
    <w:lvl w:ilvl="1" w:tplc="64CAF23C">
      <w:start w:val="1"/>
      <w:numFmt w:val="bullet"/>
      <w:lvlText w:val="•"/>
      <w:lvlJc w:val="left"/>
      <w:pPr>
        <w:ind w:left="564" w:hanging="227"/>
      </w:pPr>
      <w:rPr>
        <w:rFonts w:hint="default"/>
      </w:rPr>
    </w:lvl>
    <w:lvl w:ilvl="2" w:tplc="6A40A8F4">
      <w:start w:val="1"/>
      <w:numFmt w:val="bullet"/>
      <w:lvlText w:val="•"/>
      <w:lvlJc w:val="left"/>
      <w:pPr>
        <w:ind w:left="868" w:hanging="227"/>
      </w:pPr>
      <w:rPr>
        <w:rFonts w:hint="default"/>
      </w:rPr>
    </w:lvl>
    <w:lvl w:ilvl="3" w:tplc="473AD5A0">
      <w:start w:val="1"/>
      <w:numFmt w:val="bullet"/>
      <w:lvlText w:val="•"/>
      <w:lvlJc w:val="left"/>
      <w:pPr>
        <w:ind w:left="1172" w:hanging="227"/>
      </w:pPr>
      <w:rPr>
        <w:rFonts w:hint="default"/>
      </w:rPr>
    </w:lvl>
    <w:lvl w:ilvl="4" w:tplc="E8B65074">
      <w:start w:val="1"/>
      <w:numFmt w:val="bullet"/>
      <w:lvlText w:val="•"/>
      <w:lvlJc w:val="left"/>
      <w:pPr>
        <w:ind w:left="1477" w:hanging="227"/>
      </w:pPr>
      <w:rPr>
        <w:rFonts w:hint="default"/>
      </w:rPr>
    </w:lvl>
    <w:lvl w:ilvl="5" w:tplc="FF82CA02">
      <w:start w:val="1"/>
      <w:numFmt w:val="bullet"/>
      <w:lvlText w:val="•"/>
      <w:lvlJc w:val="left"/>
      <w:pPr>
        <w:ind w:left="1781" w:hanging="227"/>
      </w:pPr>
      <w:rPr>
        <w:rFonts w:hint="default"/>
      </w:rPr>
    </w:lvl>
    <w:lvl w:ilvl="6" w:tplc="5F688D4A">
      <w:start w:val="1"/>
      <w:numFmt w:val="bullet"/>
      <w:lvlText w:val="•"/>
      <w:lvlJc w:val="left"/>
      <w:pPr>
        <w:ind w:left="2085" w:hanging="227"/>
      </w:pPr>
      <w:rPr>
        <w:rFonts w:hint="default"/>
      </w:rPr>
    </w:lvl>
    <w:lvl w:ilvl="7" w:tplc="C69CD40C">
      <w:start w:val="1"/>
      <w:numFmt w:val="bullet"/>
      <w:lvlText w:val="•"/>
      <w:lvlJc w:val="left"/>
      <w:pPr>
        <w:ind w:left="2389" w:hanging="227"/>
      </w:pPr>
      <w:rPr>
        <w:rFonts w:hint="default"/>
      </w:rPr>
    </w:lvl>
    <w:lvl w:ilvl="8" w:tplc="84C03A72">
      <w:start w:val="1"/>
      <w:numFmt w:val="bullet"/>
      <w:lvlText w:val="•"/>
      <w:lvlJc w:val="left"/>
      <w:pPr>
        <w:ind w:left="2694" w:hanging="227"/>
      </w:pPr>
      <w:rPr>
        <w:rFont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2"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571230004">
    <w:abstractNumId w:val="1"/>
  </w:num>
  <w:num w:numId="2" w16cid:durableId="135492046">
    <w:abstractNumId w:val="12"/>
  </w:num>
  <w:num w:numId="3" w16cid:durableId="955796583">
    <w:abstractNumId w:val="8"/>
  </w:num>
  <w:num w:numId="4" w16cid:durableId="1173256559">
    <w:abstractNumId w:val="6"/>
  </w:num>
  <w:num w:numId="5" w16cid:durableId="1237016971">
    <w:abstractNumId w:val="9"/>
  </w:num>
  <w:num w:numId="6" w16cid:durableId="1298293663">
    <w:abstractNumId w:val="11"/>
  </w:num>
  <w:num w:numId="7" w16cid:durableId="104083765">
    <w:abstractNumId w:val="10"/>
  </w:num>
  <w:num w:numId="8" w16cid:durableId="936333324">
    <w:abstractNumId w:val="5"/>
  </w:num>
  <w:num w:numId="9" w16cid:durableId="748890613">
    <w:abstractNumId w:val="4"/>
  </w:num>
  <w:num w:numId="10" w16cid:durableId="431436302">
    <w:abstractNumId w:val="7"/>
  </w:num>
  <w:num w:numId="11" w16cid:durableId="765424595">
    <w:abstractNumId w:val="2"/>
  </w:num>
  <w:num w:numId="12" w16cid:durableId="1360468756">
    <w:abstractNumId w:val="0"/>
  </w:num>
  <w:num w:numId="13" w16cid:durableId="21647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0C3542"/>
    <w:rsid w:val="00112881"/>
    <w:rsid w:val="00131EB3"/>
    <w:rsid w:val="001470FF"/>
    <w:rsid w:val="00160C2F"/>
    <w:rsid w:val="00160D9A"/>
    <w:rsid w:val="00196DB3"/>
    <w:rsid w:val="0026477D"/>
    <w:rsid w:val="0028222B"/>
    <w:rsid w:val="0029712D"/>
    <w:rsid w:val="002B444A"/>
    <w:rsid w:val="002C0C2C"/>
    <w:rsid w:val="0032049E"/>
    <w:rsid w:val="00330E31"/>
    <w:rsid w:val="00355AB4"/>
    <w:rsid w:val="00383A88"/>
    <w:rsid w:val="003A2BD3"/>
    <w:rsid w:val="003B4A02"/>
    <w:rsid w:val="003D779E"/>
    <w:rsid w:val="003E316E"/>
    <w:rsid w:val="003E4589"/>
    <w:rsid w:val="0044798B"/>
    <w:rsid w:val="004607A3"/>
    <w:rsid w:val="00480C44"/>
    <w:rsid w:val="004B28D5"/>
    <w:rsid w:val="004F6F0A"/>
    <w:rsid w:val="005260BA"/>
    <w:rsid w:val="00537E32"/>
    <w:rsid w:val="005B54B8"/>
    <w:rsid w:val="006133A9"/>
    <w:rsid w:val="00624D82"/>
    <w:rsid w:val="006A135D"/>
    <w:rsid w:val="006B3074"/>
    <w:rsid w:val="006F097C"/>
    <w:rsid w:val="00755528"/>
    <w:rsid w:val="007C0920"/>
    <w:rsid w:val="007D059F"/>
    <w:rsid w:val="008013BD"/>
    <w:rsid w:val="0091350E"/>
    <w:rsid w:val="00971A87"/>
    <w:rsid w:val="009A16F7"/>
    <w:rsid w:val="00A06353"/>
    <w:rsid w:val="00A46DEB"/>
    <w:rsid w:val="00AD6607"/>
    <w:rsid w:val="00B153A8"/>
    <w:rsid w:val="00BC1A76"/>
    <w:rsid w:val="00CA1440"/>
    <w:rsid w:val="00CA3EBD"/>
    <w:rsid w:val="00CB5FC1"/>
    <w:rsid w:val="00CD500E"/>
    <w:rsid w:val="00CE719F"/>
    <w:rsid w:val="00D21322"/>
    <w:rsid w:val="00D5202A"/>
    <w:rsid w:val="00D87C0D"/>
    <w:rsid w:val="00E15B1E"/>
    <w:rsid w:val="00E374B1"/>
    <w:rsid w:val="00FB793D"/>
    <w:rsid w:val="00FC2ECA"/>
    <w:rsid w:val="00FC4D15"/>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0233E8"/>
  <w15:docId w15:val="{CE2E456B-73B0-484D-9EF1-1B0BF905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1"/>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table" w:customStyle="1" w:styleId="TableNormal1">
    <w:name w:val="Table Normal1"/>
    <w:uiPriority w:val="2"/>
    <w:semiHidden/>
    <w:unhideWhenUsed/>
    <w:qFormat/>
    <w:rsid w:val="006B307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3074"/>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6B3074"/>
    <w:pPr>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3074"/>
    <w:rPr>
      <w:rFonts w:ascii="FoundryFormSans-Book" w:eastAsia="FoundryFormSans-Book" w:hAnsi="FoundryFormSans-Book" w:cs="FoundryFormSans-Book"/>
      <w:b/>
      <w:bCs/>
      <w:sz w:val="20"/>
      <w:szCs w:val="20"/>
      <w:lang w:val="en-US"/>
    </w:rPr>
  </w:style>
  <w:style w:type="paragraph" w:customStyle="1" w:styleId="Default">
    <w:name w:val="Default"/>
    <w:rsid w:val="006B3074"/>
    <w:pPr>
      <w:autoSpaceDE w:val="0"/>
      <w:autoSpaceDN w:val="0"/>
      <w:adjustRightInd w:val="0"/>
      <w:spacing w:after="0" w:line="240" w:lineRule="auto"/>
    </w:pPr>
    <w:rPr>
      <w:rFonts w:ascii="Calibri" w:eastAsiaTheme="minorEastAsia" w:hAnsi="Calibri" w:cs="Calibri"/>
      <w:color w:val="000000"/>
      <w:sz w:val="24"/>
      <w:szCs w:val="24"/>
      <w:lang w:eastAsia="da-DK"/>
    </w:rPr>
  </w:style>
  <w:style w:type="paragraph" w:styleId="Header">
    <w:name w:val="header"/>
    <w:basedOn w:val="Normal"/>
    <w:link w:val="HeaderChar"/>
    <w:uiPriority w:val="99"/>
    <w:unhideWhenUsed/>
    <w:rsid w:val="00383A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3A88"/>
  </w:style>
  <w:style w:type="paragraph" w:styleId="Footer">
    <w:name w:val="footer"/>
    <w:basedOn w:val="Normal"/>
    <w:link w:val="FooterChar"/>
    <w:uiPriority w:val="99"/>
    <w:unhideWhenUsed/>
    <w:rsid w:val="00383A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88204519">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FADE-282A-42FC-823D-0D0D97FE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1622</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O. Juhl</cp:lastModifiedBy>
  <cp:revision>11</cp:revision>
  <cp:lastPrinted>2017-12-11T09:12:00Z</cp:lastPrinted>
  <dcterms:created xsi:type="dcterms:W3CDTF">2017-12-11T18:20:00Z</dcterms:created>
  <dcterms:modified xsi:type="dcterms:W3CDTF">2024-03-01T07:29:00Z</dcterms:modified>
</cp:coreProperties>
</file>